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C727E9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  <w:r>
        <w:rPr>
          <w:rFonts w:ascii="微軟正黑體" w:eastAsia="微軟正黑體" w:hAnsi="微軟正黑體" w:cs="微軟正黑體"/>
          <w:b/>
          <w:color w:val="000000"/>
          <w:sz w:val="32"/>
          <w:szCs w:val="32"/>
        </w:rPr>
        <w:t>財團法人台灣設計研究院</w:t>
      </w:r>
    </w:p>
    <w:p w:rsidR="00C727E9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="微軟正黑體" w:eastAsia="微軟正黑體" w:hAnsi="微軟正黑體" w:cs="微軟正黑體"/>
          <w:sz w:val="32"/>
          <w:szCs w:val="32"/>
        </w:rPr>
      </w:pPr>
      <w:r>
        <w:rPr>
          <w:rFonts w:ascii="微軟正黑體" w:eastAsia="微軟正黑體" w:hAnsi="微軟正黑體" w:cs="微軟正黑體"/>
          <w:b/>
          <w:sz w:val="32"/>
          <w:szCs w:val="32"/>
        </w:rPr>
        <w:t>氣象署署本部公共服務空間暨展示體驗升級-策展規劃</w:t>
      </w:r>
    </w:p>
    <w:p w:rsidR="00C727E9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32"/>
          <w:szCs w:val="32"/>
        </w:rPr>
        <w:t>徵求建議書</w:t>
      </w:r>
    </w:p>
    <w:p w:rsidR="00C727E9" w:rsidRPr="00F04789" w:rsidRDefault="00000000">
      <w:pPr>
        <w:pStyle w:val="1"/>
        <w:spacing w:before="400" w:line="276" w:lineRule="auto"/>
        <w:ind w:left="0" w:hanging="2"/>
        <w:rPr>
          <w:rFonts w:ascii="微軟正黑體" w:eastAsia="微軟正黑體" w:hAnsi="微軟正黑體" w:cs="Noto Sans TC"/>
          <w:sz w:val="22"/>
          <w:szCs w:val="22"/>
        </w:rPr>
      </w:pPr>
      <w:bookmarkStart w:id="0" w:name="_heading=h.wnsw9xptoyiv" w:colFirst="0" w:colLast="0"/>
      <w:bookmarkEnd w:id="0"/>
      <w:r w:rsidRPr="00F04789">
        <w:rPr>
          <w:rFonts w:ascii="微軟正黑體" w:eastAsia="微軟正黑體" w:hAnsi="微軟正黑體" w:cs="Noto Sans TC"/>
          <w:sz w:val="22"/>
          <w:szCs w:val="22"/>
        </w:rPr>
        <w:t>一、計畫背景</w:t>
      </w:r>
    </w:p>
    <w:p w:rsidR="00C727E9" w:rsidRPr="00F04789" w:rsidRDefault="00000000">
      <w:pPr>
        <w:pStyle w:val="3"/>
        <w:numPr>
          <w:ilvl w:val="0"/>
          <w:numId w:val="1"/>
        </w:numPr>
        <w:spacing w:before="320" w:line="276" w:lineRule="auto"/>
        <w:ind w:left="0" w:hanging="2"/>
        <w:rPr>
          <w:rFonts w:ascii="微軟正黑體" w:eastAsia="微軟正黑體" w:hAnsi="微軟正黑體" w:cs="Noto Sans TC"/>
          <w:color w:val="434343"/>
          <w:sz w:val="22"/>
          <w:szCs w:val="22"/>
        </w:rPr>
      </w:pPr>
      <w:bookmarkStart w:id="1" w:name="_heading=h.vum0b2plbbrr" w:colFirst="0" w:colLast="0"/>
      <w:bookmarkEnd w:id="1"/>
      <w:r w:rsidRPr="00F04789">
        <w:rPr>
          <w:rFonts w:ascii="微軟正黑體" w:eastAsia="微軟正黑體" w:hAnsi="微軟正黑體" w:cs="Noto Sans TC"/>
          <w:b w:val="0"/>
          <w:color w:val="434343"/>
          <w:sz w:val="22"/>
          <w:szCs w:val="22"/>
        </w:rPr>
        <w:t>緣起</w:t>
      </w:r>
    </w:p>
    <w:p w:rsidR="00C727E9" w:rsidRPr="00F04789" w:rsidRDefault="00000000">
      <w:pPr>
        <w:spacing w:line="276" w:lineRule="auto"/>
        <w:ind w:left="0" w:hanging="2"/>
        <w:rPr>
          <w:rFonts w:ascii="微軟正黑體" w:eastAsia="微軟正黑體" w:hAnsi="微軟正黑體" w:cs="Noto Sans TC"/>
          <w:sz w:val="22"/>
          <w:szCs w:val="22"/>
        </w:rPr>
      </w:pPr>
      <w:r w:rsidRPr="00F04789">
        <w:rPr>
          <w:rFonts w:ascii="微軟正黑體" w:eastAsia="微軟正黑體" w:hAnsi="微軟正黑體" w:cs="Noto Sans TC"/>
          <w:sz w:val="22"/>
          <w:szCs w:val="22"/>
        </w:rPr>
        <w:t>為促進交通部中央氣象署署本部之公共服務升級，氣象署與台灣設計研究院合作，藉由共創及共同投入資源，透過完善的設計流程、建立標竿典範，為國家重要氣象服務環境建構友善及專業形象。</w:t>
      </w:r>
    </w:p>
    <w:p w:rsidR="00C727E9" w:rsidRPr="00F04789" w:rsidRDefault="00000000">
      <w:pPr>
        <w:pStyle w:val="3"/>
        <w:numPr>
          <w:ilvl w:val="0"/>
          <w:numId w:val="1"/>
        </w:numPr>
        <w:spacing w:before="320" w:line="276" w:lineRule="auto"/>
        <w:ind w:left="0" w:hanging="2"/>
        <w:rPr>
          <w:rFonts w:ascii="微軟正黑體" w:eastAsia="微軟正黑體" w:hAnsi="微軟正黑體" w:cs="Noto Sans TC"/>
          <w:color w:val="434343"/>
          <w:sz w:val="22"/>
          <w:szCs w:val="22"/>
        </w:rPr>
      </w:pPr>
      <w:bookmarkStart w:id="2" w:name="_heading=h.t6sks94o8pl8" w:colFirst="0" w:colLast="0"/>
      <w:bookmarkEnd w:id="2"/>
      <w:r w:rsidRPr="00F04789">
        <w:rPr>
          <w:rFonts w:ascii="微軟正黑體" w:eastAsia="微軟正黑體" w:hAnsi="微軟正黑體" w:cs="Noto Sans TC"/>
          <w:b w:val="0"/>
          <w:color w:val="434343"/>
          <w:sz w:val="22"/>
          <w:szCs w:val="22"/>
        </w:rPr>
        <w:t>計畫說明</w:t>
      </w:r>
    </w:p>
    <w:p w:rsidR="00C727E9" w:rsidRPr="00F04789" w:rsidRDefault="00000000">
      <w:pPr>
        <w:spacing w:line="276" w:lineRule="auto"/>
        <w:ind w:left="0" w:hanging="2"/>
        <w:rPr>
          <w:rFonts w:ascii="微軟正黑體" w:eastAsia="微軟正黑體" w:hAnsi="微軟正黑體" w:cs="Noto Sans TC"/>
          <w:sz w:val="22"/>
          <w:szCs w:val="22"/>
        </w:rPr>
      </w:pPr>
      <w:r w:rsidRPr="00F04789">
        <w:rPr>
          <w:rFonts w:ascii="微軟正黑體" w:eastAsia="微軟正黑體" w:hAnsi="微軟正黑體" w:cs="Noto Sans TC"/>
          <w:sz w:val="22"/>
          <w:szCs w:val="22"/>
        </w:rPr>
        <w:t>氣象資訊影響我國交通安全、環境保護、災害防救、經濟生活等各方面的決策。近年來全球許多重要的大趨勢，如氣候變遷、新興科技、再生能源、永續發展目標(SDGs)、環境社會與公司治理(ESG)、人口結構等，也與氣象業務息息相關。</w:t>
      </w:r>
    </w:p>
    <w:p w:rsidR="00C727E9" w:rsidRPr="00F04789" w:rsidRDefault="00000000">
      <w:pPr>
        <w:spacing w:line="276" w:lineRule="auto"/>
        <w:ind w:left="0" w:hanging="2"/>
        <w:rPr>
          <w:rFonts w:ascii="微軟正黑體" w:eastAsia="微軟正黑體" w:hAnsi="微軟正黑體" w:cs="Noto Sans TC"/>
          <w:sz w:val="22"/>
          <w:szCs w:val="22"/>
        </w:rPr>
      </w:pPr>
      <w:r w:rsidRPr="00F04789">
        <w:rPr>
          <w:rFonts w:ascii="微軟正黑體" w:eastAsia="微軟正黑體" w:hAnsi="微軟正黑體" w:cs="Noto Sans TC"/>
          <w:sz w:val="22"/>
          <w:szCs w:val="22"/>
        </w:rPr>
        <w:t>面對氣候變遷的挑戰，氣象署為加強對民眾的防災教育宣導，與提升民眾對氣象業務的了解，期望透過署本部展示內容優化，提升署本部對外形象及教育推廣的功能，將氣象資訊轉化成民眾更易於理解吸收，更親民、更有感的體驗，以彰顯氣象服務的專業性及提供民眾理解氣象知識的平台，為本案的核心價值。</w:t>
      </w:r>
    </w:p>
    <w:p w:rsidR="00C727E9" w:rsidRPr="00F04789" w:rsidRDefault="00000000">
      <w:pPr>
        <w:pStyle w:val="1"/>
        <w:spacing w:before="400" w:line="276" w:lineRule="auto"/>
        <w:ind w:left="0" w:hanging="2"/>
        <w:rPr>
          <w:rFonts w:ascii="微軟正黑體" w:eastAsia="微軟正黑體" w:hAnsi="微軟正黑體" w:cs="Noto Sans TC"/>
          <w:b w:val="0"/>
          <w:sz w:val="22"/>
          <w:szCs w:val="22"/>
        </w:rPr>
      </w:pPr>
      <w:bookmarkStart w:id="3" w:name="_heading=h.jgez4xtykdii" w:colFirst="0" w:colLast="0"/>
      <w:bookmarkEnd w:id="3"/>
      <w:r w:rsidRPr="00F04789">
        <w:rPr>
          <w:rFonts w:ascii="微軟正黑體" w:eastAsia="微軟正黑體" w:hAnsi="微軟正黑體" w:cs="Noto Sans TC"/>
          <w:sz w:val="22"/>
          <w:szCs w:val="22"/>
        </w:rPr>
        <w:t>二、預算額度：</w:t>
      </w:r>
      <w:r w:rsidRPr="00F04789">
        <w:rPr>
          <w:rFonts w:ascii="微軟正黑體" w:eastAsia="微軟正黑體" w:hAnsi="微軟正黑體" w:cs="Noto Sans TC"/>
          <w:b w:val="0"/>
          <w:sz w:val="22"/>
          <w:szCs w:val="22"/>
        </w:rPr>
        <w:t>新台幣1,300,000元整（含稅）</w:t>
      </w:r>
    </w:p>
    <w:p w:rsidR="00C727E9" w:rsidRPr="00F04789" w:rsidRDefault="00000000">
      <w:pPr>
        <w:pStyle w:val="1"/>
        <w:spacing w:before="400" w:line="276" w:lineRule="auto"/>
        <w:ind w:left="0" w:hanging="2"/>
        <w:rPr>
          <w:rFonts w:ascii="微軟正黑體" w:eastAsia="微軟正黑體" w:hAnsi="微軟正黑體"/>
        </w:rPr>
      </w:pPr>
      <w:bookmarkStart w:id="4" w:name="_heading=h.uqwfcaj1d3bs" w:colFirst="0" w:colLast="0"/>
      <w:bookmarkEnd w:id="4"/>
      <w:r w:rsidRPr="00F04789">
        <w:rPr>
          <w:rFonts w:ascii="微軟正黑體" w:eastAsia="微軟正黑體" w:hAnsi="微軟正黑體" w:cs="Noto Sans TC"/>
          <w:sz w:val="22"/>
          <w:szCs w:val="22"/>
        </w:rPr>
        <w:t>三、履約期程：</w:t>
      </w:r>
      <w:r w:rsidRPr="00F04789">
        <w:rPr>
          <w:rFonts w:ascii="微軟正黑體" w:eastAsia="微軟正黑體" w:hAnsi="微軟正黑體" w:cs="Noto Sans TC"/>
          <w:b w:val="0"/>
          <w:sz w:val="22"/>
          <w:szCs w:val="22"/>
        </w:rPr>
        <w:t>決標次日起至114年11月28日止</w:t>
      </w:r>
    </w:p>
    <w:p w:rsidR="00C727E9" w:rsidRPr="00F04789" w:rsidRDefault="00000000">
      <w:pPr>
        <w:pStyle w:val="1"/>
        <w:spacing w:before="400" w:line="276" w:lineRule="auto"/>
        <w:ind w:left="0" w:hanging="2"/>
        <w:rPr>
          <w:rFonts w:ascii="微軟正黑體" w:eastAsia="微軟正黑體" w:hAnsi="微軟正黑體" w:cs="Noto Sans TC"/>
          <w:sz w:val="22"/>
          <w:szCs w:val="22"/>
        </w:rPr>
      </w:pPr>
      <w:bookmarkStart w:id="5" w:name="_heading=h.dns8eds2qyo8" w:colFirst="0" w:colLast="0"/>
      <w:bookmarkEnd w:id="5"/>
      <w:r w:rsidRPr="00F04789">
        <w:rPr>
          <w:rFonts w:ascii="微軟正黑體" w:eastAsia="微軟正黑體" w:hAnsi="微軟正黑體" w:cs="Noto Sans TC"/>
          <w:sz w:val="22"/>
          <w:szCs w:val="22"/>
        </w:rPr>
        <w:t>四、規格需求：</w:t>
      </w:r>
    </w:p>
    <w:p w:rsidR="00C727E9" w:rsidRPr="00F04789" w:rsidRDefault="00000000">
      <w:pPr>
        <w:spacing w:line="276" w:lineRule="auto"/>
        <w:ind w:left="0" w:hanging="2"/>
        <w:rPr>
          <w:rFonts w:ascii="微軟正黑體" w:eastAsia="微軟正黑體" w:hAnsi="微軟正黑體" w:cs="Noto Sans TC"/>
          <w:sz w:val="22"/>
          <w:szCs w:val="22"/>
        </w:rPr>
      </w:pPr>
      <w:r w:rsidRPr="00F04789">
        <w:rPr>
          <w:rFonts w:ascii="微軟正黑體" w:eastAsia="微軟正黑體" w:hAnsi="微軟正黑體" w:cs="Noto Sans TC"/>
          <w:sz w:val="22"/>
          <w:szCs w:val="22"/>
        </w:rPr>
        <w:t>本案以署本部公共場域展示空間爲示範，打造具主題性且有魅力的導覽體驗，擬定具有主題性的展覽主題、內容、方式及導覽流程建議，並提出完整的展示架構，項目包含：</w:t>
      </w:r>
    </w:p>
    <w:sdt>
      <w:sdtPr>
        <w:tag w:val="goog_rdk_0"/>
        <w:id w:val="-1093630828"/>
        <w:lock w:val="contentLocked"/>
      </w:sdtPr>
      <w:sdtContent>
        <w:tbl>
          <w:tblPr>
            <w:tblStyle w:val="af8"/>
            <w:tblW w:w="8385" w:type="dxa"/>
            <w:tblInd w:w="72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795"/>
            <w:gridCol w:w="2700"/>
            <w:gridCol w:w="4890"/>
          </w:tblGrid>
          <w:tr w:rsidR="00C727E9">
            <w:tc>
              <w:tcPr>
                <w:tcW w:w="795" w:type="dxa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ind w:left="0" w:hanging="2"/>
                  <w:jc w:val="center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t>序</w:t>
                </w:r>
              </w:p>
            </w:tc>
            <w:tc>
              <w:tcPr>
                <w:tcW w:w="2700" w:type="dxa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ind w:left="0" w:hanging="2"/>
                  <w:jc w:val="center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t>項目</w:t>
                </w:r>
              </w:p>
            </w:tc>
            <w:tc>
              <w:tcPr>
                <w:tcW w:w="4890" w:type="dxa"/>
                <w:shd w:val="clear" w:color="auto" w:fill="D9D9D9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ind w:left="0" w:hanging="2"/>
                  <w:jc w:val="center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t>內容</w:t>
                </w:r>
              </w:p>
            </w:tc>
          </w:tr>
          <w:tr w:rsidR="00C727E9">
            <w:tc>
              <w:tcPr>
                <w:tcW w:w="7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ind w:left="0" w:hanging="2"/>
                  <w:jc w:val="center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t>1</w:t>
                </w:r>
              </w:p>
            </w:tc>
            <w:tc>
              <w:tcPr>
                <w:tcW w:w="270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spacing w:line="276" w:lineRule="auto"/>
                  <w:ind w:left="0" w:hanging="2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t>展覽主題及策略架構</w:t>
                </w:r>
              </w:p>
            </w:tc>
            <w:tc>
              <w:tcPr>
                <w:tcW w:w="489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spacing w:line="276" w:lineRule="auto"/>
                  <w:ind w:left="0" w:hanging="2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t>提出具可行性之展覽架構及展示主題，須回應親民的氣象科普專業知識之展示規劃策略。</w:t>
                </w:r>
              </w:p>
            </w:tc>
          </w:tr>
          <w:tr w:rsidR="00C727E9">
            <w:tc>
              <w:tcPr>
                <w:tcW w:w="7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ind w:left="0" w:hanging="2"/>
                  <w:jc w:val="center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lastRenderedPageBreak/>
                  <w:t>2</w:t>
                </w:r>
              </w:p>
            </w:tc>
            <w:tc>
              <w:tcPr>
                <w:tcW w:w="270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spacing w:line="276" w:lineRule="auto"/>
                  <w:ind w:left="0" w:hanging="2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t>導覽動線流程規劃</w:t>
                </w:r>
              </w:p>
            </w:tc>
            <w:tc>
              <w:tcPr>
                <w:tcW w:w="489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spacing w:line="276" w:lineRule="auto"/>
                  <w:ind w:left="0" w:hanging="2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t>提出常設展覽、主題特展及大型活動之導覽動線規劃。</w:t>
                </w:r>
              </w:p>
            </w:tc>
          </w:tr>
          <w:tr w:rsidR="00C727E9">
            <w:tc>
              <w:tcPr>
                <w:tcW w:w="7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ind w:left="0" w:hanging="2"/>
                  <w:jc w:val="center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t>3</w:t>
                </w:r>
              </w:p>
            </w:tc>
            <w:tc>
              <w:tcPr>
                <w:tcW w:w="270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spacing w:line="276" w:lineRule="auto"/>
                  <w:ind w:left="0" w:hanging="2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t>展覽分區策劃及視覺風格</w:t>
                </w:r>
              </w:p>
            </w:tc>
            <w:tc>
              <w:tcPr>
                <w:tcW w:w="489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spacing w:line="276" w:lineRule="auto"/>
                  <w:ind w:left="0" w:hanging="2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t>提出展示空間一、展示空間二之展覽策劃及視覺風格總體規劃及設計概念。</w:t>
                </w:r>
              </w:p>
            </w:tc>
          </w:tr>
          <w:tr w:rsidR="00C727E9">
            <w:tc>
              <w:tcPr>
                <w:tcW w:w="7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ind w:left="0" w:hanging="2"/>
                  <w:jc w:val="center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t>4</w:t>
                </w:r>
              </w:p>
            </w:tc>
            <w:tc>
              <w:tcPr>
                <w:tcW w:w="270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spacing w:line="276" w:lineRule="auto"/>
                  <w:ind w:left="0" w:hanging="2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t>展示型態及設備規劃</w:t>
                </w:r>
              </w:p>
            </w:tc>
            <w:tc>
              <w:tcPr>
                <w:tcW w:w="489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spacing w:line="276" w:lineRule="auto"/>
                  <w:ind w:left="0" w:hanging="2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t>配合展示空間定位提出展示內容規劃，以及經費可執行、易維護管理之設備建議。</w:t>
                </w:r>
              </w:p>
            </w:tc>
          </w:tr>
          <w:tr w:rsidR="00C727E9">
            <w:trPr>
              <w:trHeight w:val="656"/>
            </w:trPr>
            <w:tc>
              <w:tcPr>
                <w:tcW w:w="7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ind w:left="0" w:hanging="2"/>
                  <w:jc w:val="center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t>5</w:t>
                </w:r>
              </w:p>
            </w:tc>
            <w:tc>
              <w:tcPr>
                <w:tcW w:w="270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spacing w:line="276" w:lineRule="auto"/>
                  <w:ind w:left="0" w:hanging="2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t>內容產製：展覽文案</w:t>
                </w:r>
              </w:p>
            </w:tc>
            <w:tc>
              <w:tcPr>
                <w:tcW w:w="489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spacing w:line="276" w:lineRule="auto"/>
                  <w:ind w:left="0" w:hanging="2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t>提出展示區之主題說明、氣象科普展示介紹、互動說明及展覽宣傳文案。</w:t>
                </w:r>
              </w:p>
            </w:tc>
          </w:tr>
          <w:tr w:rsidR="00C727E9">
            <w:trPr>
              <w:trHeight w:val="401"/>
            </w:trPr>
            <w:tc>
              <w:tcPr>
                <w:tcW w:w="7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ind w:left="0" w:hanging="2"/>
                  <w:jc w:val="center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t>6</w:t>
                </w:r>
              </w:p>
            </w:tc>
            <w:tc>
              <w:tcPr>
                <w:tcW w:w="270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spacing w:line="276" w:lineRule="auto"/>
                  <w:ind w:left="0" w:hanging="2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t>內容產製：平面設計</w:t>
                </w:r>
              </w:p>
            </w:tc>
            <w:tc>
              <w:tcPr>
                <w:tcW w:w="489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spacing w:line="276" w:lineRule="auto"/>
                  <w:ind w:left="0" w:hanging="2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t>提出各展區常設展之主視覺、展品視覺設計、展場視覺應用（空間指引、互動裝置介紹）、展覽手冊設計。</w:t>
                </w:r>
              </w:p>
            </w:tc>
          </w:tr>
          <w:tr w:rsidR="00C727E9">
            <w:trPr>
              <w:trHeight w:val="401"/>
            </w:trPr>
            <w:tc>
              <w:tcPr>
                <w:tcW w:w="7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ind w:left="0" w:hanging="2"/>
                  <w:jc w:val="center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t>7</w:t>
                </w:r>
              </w:p>
            </w:tc>
            <w:tc>
              <w:tcPr>
                <w:tcW w:w="270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spacing w:line="276" w:lineRule="auto"/>
                  <w:ind w:left="0" w:hanging="2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t>內容產製：影音互動內容</w:t>
                </w:r>
              </w:p>
            </w:tc>
            <w:tc>
              <w:tcPr>
                <w:tcW w:w="489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C727E9" w:rsidRDefault="00000000">
                <w:pPr>
                  <w:spacing w:line="276" w:lineRule="auto"/>
                  <w:ind w:left="0" w:hanging="2"/>
                  <w:rPr>
                    <w:rFonts w:ascii="Noto Sans TC" w:eastAsia="Noto Sans TC" w:hAnsi="Noto Sans TC" w:cs="Noto Sans TC"/>
                    <w:sz w:val="22"/>
                    <w:szCs w:val="22"/>
                  </w:rPr>
                </w:pPr>
                <w:r>
                  <w:rPr>
                    <w:rFonts w:ascii="Noto Sans TC" w:eastAsia="Noto Sans TC" w:hAnsi="Noto Sans TC" w:cs="Noto Sans TC"/>
                    <w:sz w:val="22"/>
                    <w:szCs w:val="22"/>
                  </w:rPr>
                  <w:t>提出可互動之動態影音，須配合並延伸展覽主視覺規劃。</w:t>
                </w:r>
              </w:p>
            </w:tc>
          </w:tr>
        </w:tbl>
      </w:sdtContent>
    </w:sdt>
    <w:p w:rsidR="00C727E9" w:rsidRPr="00F04789" w:rsidRDefault="00000000">
      <w:pPr>
        <w:spacing w:line="276" w:lineRule="auto"/>
        <w:ind w:left="0" w:hanging="2"/>
        <w:rPr>
          <w:rFonts w:ascii="微軟正黑體" w:eastAsia="微軟正黑體" w:hAnsi="微軟正黑體" w:cs="Noto Sans TC"/>
          <w:sz w:val="22"/>
          <w:szCs w:val="22"/>
        </w:rPr>
      </w:pPr>
      <w:r w:rsidRPr="00F04789">
        <w:rPr>
          <w:rFonts w:ascii="微軟正黑體" w:eastAsia="微軟正黑體" w:hAnsi="微軟正黑體" w:cs="Noto Sans TC"/>
          <w:sz w:val="22"/>
          <w:szCs w:val="22"/>
        </w:rPr>
        <w:t>*注意事項：</w:t>
      </w:r>
    </w:p>
    <w:p w:rsidR="00C727E9" w:rsidRPr="00F04789" w:rsidRDefault="00000000">
      <w:pPr>
        <w:spacing w:line="276" w:lineRule="auto"/>
        <w:ind w:left="0" w:hanging="2"/>
        <w:rPr>
          <w:rFonts w:ascii="微軟正黑體" w:eastAsia="微軟正黑體" w:hAnsi="微軟正黑體" w:cs="Noto Sans TC"/>
          <w:sz w:val="22"/>
          <w:szCs w:val="22"/>
        </w:rPr>
      </w:pPr>
      <w:r w:rsidRPr="00F04789">
        <w:rPr>
          <w:rFonts w:ascii="微軟正黑體" w:eastAsia="微軟正黑體" w:hAnsi="微軟正黑體" w:cs="Noto Sans TC"/>
          <w:sz w:val="22"/>
          <w:szCs w:val="22"/>
        </w:rPr>
        <w:t>1.工程發包期間須與展場施作團隊溝通確保設計施作品質。</w:t>
      </w:r>
    </w:p>
    <w:p w:rsidR="00C727E9" w:rsidRPr="00F04789" w:rsidRDefault="00000000">
      <w:pPr>
        <w:spacing w:line="276" w:lineRule="auto"/>
        <w:ind w:left="0" w:hanging="2"/>
        <w:rPr>
          <w:rFonts w:ascii="微軟正黑體" w:eastAsia="微軟正黑體" w:hAnsi="微軟正黑體" w:cs="Noto Sans TC"/>
          <w:sz w:val="22"/>
          <w:szCs w:val="22"/>
        </w:rPr>
      </w:pPr>
      <w:r w:rsidRPr="00F04789">
        <w:rPr>
          <w:rFonts w:ascii="微軟正黑體" w:eastAsia="微軟正黑體" w:hAnsi="微軟正黑體" w:cs="Noto Sans TC"/>
          <w:sz w:val="22"/>
          <w:szCs w:val="22"/>
        </w:rPr>
        <w:t>2.本案預計產出成果：氣象署展示主題、架構及展示區域規劃及內容產製。</w:t>
      </w:r>
    </w:p>
    <w:p w:rsidR="00C727E9" w:rsidRPr="00F04789" w:rsidRDefault="00000000">
      <w:pPr>
        <w:keepNext/>
        <w:keepLines/>
        <w:spacing w:before="400" w:after="120" w:line="276" w:lineRule="auto"/>
        <w:ind w:left="0" w:hanging="2"/>
        <w:rPr>
          <w:rFonts w:ascii="微軟正黑體" w:eastAsia="微軟正黑體" w:hAnsi="微軟正黑體" w:cs="Noto Sans TC"/>
          <w:b/>
          <w:sz w:val="22"/>
          <w:szCs w:val="22"/>
        </w:rPr>
      </w:pPr>
      <w:r w:rsidRPr="00F04789">
        <w:rPr>
          <w:rFonts w:ascii="微軟正黑體" w:eastAsia="微軟正黑體" w:hAnsi="微軟正黑體" w:cs="Noto Sans TC"/>
          <w:b/>
          <w:sz w:val="22"/>
          <w:szCs w:val="22"/>
        </w:rPr>
        <w:t>五、比稿項目</w:t>
      </w:r>
    </w:p>
    <w:p w:rsidR="00C727E9" w:rsidRPr="00F04789" w:rsidRDefault="00000000">
      <w:pPr>
        <w:numPr>
          <w:ilvl w:val="0"/>
          <w:numId w:val="2"/>
        </w:numPr>
        <w:spacing w:line="276" w:lineRule="auto"/>
        <w:ind w:left="0" w:hanging="2"/>
        <w:rPr>
          <w:rFonts w:ascii="微軟正黑體" w:eastAsia="微軟正黑體" w:hAnsi="微軟正黑體" w:cs="Noto Sans TC"/>
          <w:sz w:val="22"/>
          <w:szCs w:val="22"/>
        </w:rPr>
      </w:pPr>
      <w:r w:rsidRPr="00F04789">
        <w:rPr>
          <w:rFonts w:ascii="微軟正黑體" w:eastAsia="微軟正黑體" w:hAnsi="微軟正黑體" w:cs="Noto Sans TC"/>
          <w:sz w:val="22"/>
          <w:szCs w:val="22"/>
        </w:rPr>
        <w:t>投標廠商之比稿項目建議包含但不限於下列各項：</w:t>
      </w:r>
    </w:p>
    <w:p w:rsidR="00C727E9" w:rsidRPr="00F04789" w:rsidRDefault="00000000">
      <w:pPr>
        <w:spacing w:line="276" w:lineRule="auto"/>
        <w:ind w:left="0" w:hanging="2"/>
        <w:rPr>
          <w:rFonts w:ascii="微軟正黑體" w:eastAsia="微軟正黑體" w:hAnsi="微軟正黑體" w:cs="Noto Sans TC"/>
          <w:sz w:val="22"/>
          <w:szCs w:val="22"/>
        </w:rPr>
      </w:pPr>
      <w:r w:rsidRPr="00F04789">
        <w:rPr>
          <w:rFonts w:ascii="微軟正黑體" w:eastAsia="微軟正黑體" w:hAnsi="微軟正黑體" w:cs="Noto Sans TC"/>
          <w:sz w:val="22"/>
          <w:szCs w:val="22"/>
        </w:rPr>
        <w:t>（一） 總體展覽策略規劃</w:t>
      </w:r>
    </w:p>
    <w:p w:rsidR="00C727E9" w:rsidRPr="00F04789" w:rsidRDefault="00000000">
      <w:pPr>
        <w:spacing w:line="276" w:lineRule="auto"/>
        <w:ind w:left="0" w:hanging="2"/>
        <w:rPr>
          <w:rFonts w:ascii="微軟正黑體" w:eastAsia="微軟正黑體" w:hAnsi="微軟正黑體" w:cs="Noto Sans TC"/>
          <w:sz w:val="22"/>
          <w:szCs w:val="22"/>
        </w:rPr>
      </w:pPr>
      <w:r w:rsidRPr="00F04789">
        <w:rPr>
          <w:rFonts w:ascii="微軟正黑體" w:eastAsia="微軟正黑體" w:hAnsi="微軟正黑體" w:cs="Noto Sans TC"/>
          <w:sz w:val="22"/>
          <w:szCs w:val="22"/>
        </w:rPr>
        <w:t>（二） 初步分區主題構想規劃</w:t>
      </w:r>
    </w:p>
    <w:p w:rsidR="00C727E9" w:rsidRPr="00F04789" w:rsidRDefault="00000000">
      <w:pPr>
        <w:spacing w:line="276" w:lineRule="auto"/>
        <w:ind w:left="0" w:hanging="2"/>
        <w:rPr>
          <w:rFonts w:ascii="微軟正黑體" w:eastAsia="微軟正黑體" w:hAnsi="微軟正黑體" w:cs="Noto Sans TC"/>
          <w:sz w:val="22"/>
          <w:szCs w:val="22"/>
        </w:rPr>
      </w:pPr>
      <w:r w:rsidRPr="00F04789">
        <w:rPr>
          <w:rFonts w:ascii="微軟正黑體" w:eastAsia="微軟正黑體" w:hAnsi="微軟正黑體" w:cs="Noto Sans TC"/>
          <w:sz w:val="22"/>
          <w:szCs w:val="22"/>
        </w:rPr>
        <w:t>（三） 時程進度規劃</w:t>
      </w:r>
    </w:p>
    <w:p w:rsidR="00C727E9" w:rsidRPr="00F04789" w:rsidRDefault="00000000">
      <w:pPr>
        <w:spacing w:line="276" w:lineRule="auto"/>
        <w:ind w:left="0" w:hanging="2"/>
        <w:rPr>
          <w:rFonts w:ascii="微軟正黑體" w:eastAsia="微軟正黑體" w:hAnsi="微軟正黑體" w:cs="Noto Sans TC"/>
          <w:sz w:val="22"/>
          <w:szCs w:val="22"/>
        </w:rPr>
      </w:pPr>
      <w:r w:rsidRPr="00F04789">
        <w:rPr>
          <w:rFonts w:ascii="微軟正黑體" w:eastAsia="微軟正黑體" w:hAnsi="微軟正黑體" w:cs="Noto Sans TC"/>
          <w:sz w:val="22"/>
          <w:szCs w:val="22"/>
        </w:rPr>
        <w:t>（四） 經費分配規劃</w:t>
      </w:r>
    </w:p>
    <w:p w:rsidR="00C727E9" w:rsidRPr="00F04789" w:rsidRDefault="00000000">
      <w:pPr>
        <w:keepNext/>
        <w:keepLines/>
        <w:spacing w:before="400" w:after="120" w:line="276" w:lineRule="auto"/>
        <w:ind w:left="0" w:hanging="2"/>
        <w:rPr>
          <w:rFonts w:ascii="微軟正黑體" w:eastAsia="微軟正黑體" w:hAnsi="微軟正黑體" w:cs="Noto Sans TC"/>
          <w:b/>
          <w:sz w:val="22"/>
          <w:szCs w:val="22"/>
        </w:rPr>
      </w:pPr>
      <w:bookmarkStart w:id="6" w:name="_heading=h.4a7yb4jf5h48" w:colFirst="0" w:colLast="0"/>
      <w:bookmarkEnd w:id="6"/>
      <w:r w:rsidRPr="00F04789">
        <w:rPr>
          <w:rFonts w:ascii="微軟正黑體" w:eastAsia="微軟正黑體" w:hAnsi="微軟正黑體" w:cs="Noto Sans TC"/>
          <w:b/>
          <w:sz w:val="22"/>
          <w:szCs w:val="22"/>
        </w:rPr>
        <w:t>六、相關圖說參考</w:t>
      </w:r>
    </w:p>
    <w:p w:rsidR="00C727E9" w:rsidRPr="00F04789" w:rsidRDefault="00000000">
      <w:pPr>
        <w:spacing w:line="276" w:lineRule="auto"/>
        <w:ind w:left="0" w:hanging="2"/>
        <w:rPr>
          <w:rFonts w:ascii="微軟正黑體" w:eastAsia="微軟正黑體" w:hAnsi="微軟正黑體" w:cs="Noto Sans TC"/>
          <w:sz w:val="22"/>
          <w:szCs w:val="22"/>
        </w:rPr>
      </w:pPr>
      <w:r w:rsidRPr="00F04789">
        <w:rPr>
          <w:rFonts w:ascii="微軟正黑體" w:eastAsia="微軟正黑體" w:hAnsi="微軟正黑體" w:cs="Noto Sans TC"/>
          <w:sz w:val="22"/>
          <w:szCs w:val="22"/>
        </w:rPr>
        <w:t xml:space="preserve">  1. 1樓大廳空間機能及地震展覽走廊</w:t>
      </w:r>
    </w:p>
    <w:p w:rsidR="00C727E9" w:rsidRDefault="00000000">
      <w:pPr>
        <w:spacing w:line="276" w:lineRule="auto"/>
        <w:ind w:left="0" w:hanging="2"/>
        <w:rPr>
          <w:rFonts w:ascii="Noto Sans TC" w:eastAsia="Noto Sans TC" w:hAnsi="Noto Sans TC" w:cs="Noto Sans TC"/>
          <w:sz w:val="22"/>
          <w:szCs w:val="22"/>
        </w:rPr>
      </w:pPr>
      <w:r>
        <w:rPr>
          <w:rFonts w:ascii="Noto Sans TC" w:eastAsia="Noto Sans TC" w:hAnsi="Noto Sans TC" w:cs="Noto Sans TC"/>
          <w:noProof/>
          <w:sz w:val="22"/>
          <w:szCs w:val="22"/>
        </w:rPr>
        <w:lastRenderedPageBreak/>
        <w:drawing>
          <wp:inline distT="114300" distB="114300" distL="114300" distR="114300">
            <wp:extent cx="5374839" cy="4114709"/>
            <wp:effectExtent l="0" t="0" r="0" b="0"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74839" cy="411470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C727E9" w:rsidRPr="00F04789" w:rsidRDefault="00000000">
      <w:pPr>
        <w:spacing w:line="276" w:lineRule="auto"/>
        <w:ind w:left="0" w:hanging="2"/>
        <w:rPr>
          <w:rFonts w:ascii="微軟正黑體" w:eastAsia="微軟正黑體" w:hAnsi="微軟正黑體" w:cs="Noto Sans TC"/>
          <w:sz w:val="22"/>
          <w:szCs w:val="22"/>
        </w:rPr>
      </w:pPr>
      <w:r w:rsidRPr="00F04789">
        <w:rPr>
          <w:rFonts w:ascii="微軟正黑體" w:eastAsia="微軟正黑體" w:hAnsi="微軟正黑體" w:cs="Noto Sans TC"/>
          <w:sz w:val="22"/>
          <w:szCs w:val="22"/>
        </w:rPr>
        <w:t>2. 地下1樓展示空間</w:t>
      </w:r>
      <w:r w:rsidRPr="00F04789">
        <w:rPr>
          <w:rFonts w:ascii="微軟正黑體" w:eastAsia="微軟正黑體" w:hAnsi="微軟正黑體" w:cs="Noto Sans TC"/>
          <w:noProof/>
          <w:sz w:val="22"/>
          <w:szCs w:val="22"/>
        </w:rPr>
        <w:drawing>
          <wp:inline distT="114300" distB="114300" distL="114300" distR="114300">
            <wp:extent cx="5233848" cy="3578445"/>
            <wp:effectExtent l="0" t="0" r="0" b="0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3848" cy="35784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C727E9" w:rsidRDefault="00C727E9">
      <w:pPr>
        <w:spacing w:line="276" w:lineRule="auto"/>
        <w:ind w:left="0" w:hanging="2"/>
        <w:rPr>
          <w:rFonts w:ascii="Noto Sans TC" w:eastAsia="Noto Sans TC" w:hAnsi="Noto Sans TC" w:cs="Noto Sans TC"/>
          <w:sz w:val="22"/>
          <w:szCs w:val="22"/>
        </w:rPr>
      </w:pPr>
    </w:p>
    <w:p w:rsidR="00C727E9" w:rsidRDefault="00C727E9">
      <w:pPr>
        <w:spacing w:line="276" w:lineRule="auto"/>
        <w:ind w:left="0" w:hanging="2"/>
        <w:rPr>
          <w:rFonts w:ascii="Noto Sans TC" w:eastAsia="Noto Sans TC" w:hAnsi="Noto Sans TC" w:cs="Noto Sans TC"/>
          <w:sz w:val="22"/>
          <w:szCs w:val="22"/>
        </w:rPr>
      </w:pPr>
    </w:p>
    <w:p w:rsidR="00C727E9" w:rsidRDefault="00C727E9">
      <w:pPr>
        <w:spacing w:line="276" w:lineRule="auto"/>
        <w:ind w:left="0" w:hanging="2"/>
        <w:rPr>
          <w:rFonts w:ascii="Noto Sans TC" w:eastAsia="Noto Sans TC" w:hAnsi="Noto Sans TC" w:cs="Noto Sans TC"/>
          <w:sz w:val="22"/>
          <w:szCs w:val="22"/>
        </w:rPr>
      </w:pPr>
    </w:p>
    <w:p w:rsidR="00C727E9" w:rsidRPr="00F04789" w:rsidRDefault="00000000">
      <w:pPr>
        <w:spacing w:line="276" w:lineRule="auto"/>
        <w:ind w:left="0" w:hanging="2"/>
        <w:rPr>
          <w:rFonts w:ascii="微軟正黑體" w:eastAsia="微軟正黑體" w:hAnsi="微軟正黑體" w:cs="Noto Sans TC"/>
          <w:sz w:val="22"/>
          <w:szCs w:val="22"/>
        </w:rPr>
      </w:pPr>
      <w:r w:rsidRPr="00F04789">
        <w:rPr>
          <w:rFonts w:ascii="微軟正黑體" w:eastAsia="微軟正黑體" w:hAnsi="微軟正黑體" w:cs="Noto Sans TC"/>
          <w:sz w:val="22"/>
          <w:szCs w:val="22"/>
        </w:rPr>
        <w:lastRenderedPageBreak/>
        <w:t>3. 氣象署展覽空間現況示意圖</w:t>
      </w:r>
      <w:r w:rsidRPr="00F04789">
        <w:rPr>
          <w:rFonts w:ascii="微軟正黑體" w:eastAsia="微軟正黑體" w:hAnsi="微軟正黑體"/>
          <w:noProof/>
        </w:rPr>
        <w:drawing>
          <wp:anchor distT="114300" distB="114300" distL="114300" distR="114300" simplePos="0" relativeHeight="251658240" behindDoc="0" locked="0" layoutInCell="1" hidden="0" allowOverlap="1">
            <wp:simplePos x="0" y="0"/>
            <wp:positionH relativeFrom="column">
              <wp:posOffset>295275</wp:posOffset>
            </wp:positionH>
            <wp:positionV relativeFrom="paragraph">
              <wp:posOffset>419013</wp:posOffset>
            </wp:positionV>
            <wp:extent cx="6143625" cy="2097970"/>
            <wp:effectExtent l="0" t="0" r="0" b="0"/>
            <wp:wrapSquare wrapText="bothSides" distT="114300" distB="114300" distL="114300" distR="114300"/>
            <wp:docPr id="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t="13283"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20979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sectPr w:rsidR="00C727E9" w:rsidRPr="00F04789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7" w:h="16840"/>
      <w:pgMar w:top="1304" w:right="1247" w:bottom="1304" w:left="1247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1479A" w:rsidRDefault="00A1479A">
      <w:pPr>
        <w:spacing w:line="240" w:lineRule="auto"/>
        <w:ind w:left="0" w:hanging="2"/>
      </w:pPr>
      <w:r>
        <w:separator/>
      </w:r>
    </w:p>
  </w:endnote>
  <w:endnote w:type="continuationSeparator" w:id="0">
    <w:p w:rsidR="00A1479A" w:rsidRDefault="00A1479A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75E945E-706D-684E-9722-B5441D8EE23D}"/>
    <w:embedBold r:id="rId2" w:fontKey="{293D74B8-8B14-A641-B591-CD8720132FF5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全真楷書">
    <w:altName w:val="Arial Unicode MS"/>
    <w:panose1 w:val="020B0604020202020204"/>
    <w:charset w:val="00"/>
    <w:family w:val="auto"/>
    <w:pitch w:val="default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4" w:fontKey="{04BDC763-1304-5146-9446-87B9A426DB03}"/>
  </w:font>
  <w:font w:name="華康細明體">
    <w:altName w:val="Arial Unicode MS"/>
    <w:panose1 w:val="020B0604020202020204"/>
    <w:charset w:val="88"/>
    <w:family w:val="roman"/>
    <w:pitch w:val="default"/>
  </w:font>
  <w:font w:name="標楷體">
    <w:panose1 w:val="02010601000101010101"/>
    <w:charset w:val="88"/>
    <w:family w:val="auto"/>
    <w:pitch w:val="variable"/>
    <w:sig w:usb0="00000001" w:usb1="08080000" w:usb2="00000010" w:usb3="00000000" w:csb0="00100001" w:csb1="00000000"/>
  </w:font>
  <w:font w:name="華康楷書體W5">
    <w:panose1 w:val="020B0604020202020204"/>
    <w:charset w:val="88"/>
    <w:family w:val="roman"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5" w:fontKey="{B89E7747-2B2C-ED4C-92BF-BBD1ACAC95C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25E6E8E2-88CB-1B49-A145-04E847B996BF}"/>
    <w:embedItalic r:id="rId7" w:fontKey="{703BCEA9-5823-F444-826D-3CFF92BE78E1}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  <w:embedRegular r:id="rId8" w:subsetted="1" w:fontKey="{760AC09B-8DE7-5647-9F0F-D01FEFFAEB98}"/>
    <w:embedBold r:id="rId9" w:subsetted="1" w:fontKey="{CAF4BC6B-E02E-9644-992A-F0CC5037F0F3}"/>
  </w:font>
  <w:font w:name="Noto Sans TC">
    <w:panose1 w:val="020B0604020202020204"/>
    <w:charset w:val="00"/>
    <w:family w:val="auto"/>
    <w:pitch w:val="default"/>
    <w:embedRegular r:id="rId10" w:fontKey="{E36EAEC7-6E44-9F49-92D9-D8900B70E8F0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1" w:fontKey="{6F2D62FF-0F29-0F4E-AE87-3D3A24DA1A15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2" w:fontKey="{F2DE9C39-260B-7441-99A6-75C67451ECE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C727E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line="240" w:lineRule="auto"/>
      <w:ind w:left="0" w:hanging="2"/>
      <w:jc w:val="center"/>
      <w:rPr>
        <w:color w:val="000000"/>
        <w:sz w:val="20"/>
      </w:rPr>
    </w:pPr>
    <w:r>
      <w:rPr>
        <w:color w:val="000000"/>
        <w:sz w:val="20"/>
      </w:rPr>
      <w:fldChar w:fldCharType="begin"/>
    </w:r>
    <w:r>
      <w:rPr>
        <w:rFonts w:eastAsia="Times New Roman"/>
        <w:color w:val="000000"/>
        <w:sz w:val="20"/>
      </w:rPr>
      <w:instrText>PAGE</w:instrText>
    </w:r>
    <w:r>
      <w:rPr>
        <w:color w:val="000000"/>
        <w:sz w:val="20"/>
      </w:rPr>
      <w:fldChar w:fldCharType="separate"/>
    </w:r>
    <w:r>
      <w:rPr>
        <w:color w:val="000000"/>
        <w:sz w:val="20"/>
      </w:rPr>
      <w:fldChar w:fldCharType="end"/>
    </w:r>
  </w:p>
  <w:p w:rsidR="00C727E9" w:rsidRDefault="00C727E9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line="240" w:lineRule="auto"/>
      <w:ind w:left="0" w:hanging="2"/>
      <w:rPr>
        <w:color w:val="000000"/>
        <w:sz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C727E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line="240" w:lineRule="auto"/>
      <w:ind w:left="0" w:hanging="2"/>
      <w:jc w:val="center"/>
      <w:rPr>
        <w:rFonts w:ascii="全真楷書" w:eastAsia="全真楷書" w:hAnsi="全真楷書" w:cs="全真楷書"/>
        <w:color w:val="000000"/>
        <w:sz w:val="20"/>
      </w:rPr>
    </w:pPr>
    <w:r>
      <w:rPr>
        <w:rFonts w:ascii="全真楷書" w:eastAsia="全真楷書" w:hAnsi="全真楷書" w:cs="全真楷書"/>
        <w:color w:val="000000"/>
        <w:sz w:val="20"/>
      </w:rPr>
      <w:fldChar w:fldCharType="begin"/>
    </w:r>
    <w:r>
      <w:rPr>
        <w:rFonts w:ascii="全真楷書" w:eastAsia="全真楷書" w:hAnsi="全真楷書" w:cs="全真楷書"/>
        <w:color w:val="000000"/>
        <w:sz w:val="20"/>
      </w:rPr>
      <w:instrText>PAGE</w:instrText>
    </w:r>
    <w:r>
      <w:rPr>
        <w:rFonts w:ascii="全真楷書" w:eastAsia="全真楷書" w:hAnsi="全真楷書" w:cs="全真楷書"/>
        <w:color w:val="000000"/>
        <w:sz w:val="20"/>
      </w:rPr>
      <w:fldChar w:fldCharType="separate"/>
    </w:r>
    <w:r w:rsidR="00EB6968">
      <w:rPr>
        <w:rFonts w:ascii="全真楷書" w:eastAsia="全真楷書" w:hAnsi="全真楷書" w:cs="全真楷書"/>
        <w:noProof/>
        <w:color w:val="000000"/>
        <w:sz w:val="20"/>
      </w:rPr>
      <w:t>1</w:t>
    </w:r>
    <w:r>
      <w:rPr>
        <w:rFonts w:ascii="全真楷書" w:eastAsia="全真楷書" w:hAnsi="全真楷書" w:cs="全真楷書"/>
        <w:color w:val="000000"/>
        <w:sz w:val="20"/>
      </w:rPr>
      <w:fldChar w:fldCharType="end"/>
    </w:r>
  </w:p>
  <w:p w:rsidR="00C727E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line="240" w:lineRule="auto"/>
      <w:ind w:left="0" w:hanging="2"/>
      <w:rPr>
        <w:color w:val="000000"/>
        <w:sz w:val="20"/>
      </w:rPr>
    </w:pPr>
    <w:r>
      <w:rPr>
        <w:rFonts w:eastAsia="Times New Roman"/>
        <w:color w:val="000000"/>
        <w:sz w:val="20"/>
      </w:rPr>
      <w:t xml:space="preserve">                                           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EB6968" w:rsidRDefault="00EB6968">
    <w:pPr>
      <w:pStyle w:val="a8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1479A" w:rsidRDefault="00A1479A">
      <w:pPr>
        <w:spacing w:line="240" w:lineRule="auto"/>
        <w:ind w:left="0" w:hanging="2"/>
      </w:pPr>
      <w:r>
        <w:separator/>
      </w:r>
    </w:p>
  </w:footnote>
  <w:footnote w:type="continuationSeparator" w:id="0">
    <w:p w:rsidR="00A1479A" w:rsidRDefault="00A1479A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EB6968" w:rsidRDefault="00EB6968">
    <w:pPr>
      <w:pStyle w:val="ab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C727E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line="240" w:lineRule="auto"/>
      <w:ind w:left="1" w:hanging="3"/>
      <w:jc w:val="right"/>
      <w:rPr>
        <w:rFonts w:ascii="微軟正黑體" w:eastAsia="微軟正黑體" w:hAnsi="微軟正黑體" w:cs="微軟正黑體"/>
        <w:color w:val="000000"/>
        <w:sz w:val="28"/>
        <w:szCs w:val="28"/>
      </w:rPr>
    </w:pPr>
    <w:r>
      <w:rPr>
        <w:rFonts w:ascii="微軟正黑體" w:eastAsia="微軟正黑體" w:hAnsi="微軟正黑體" w:cs="微軟正黑體"/>
        <w:color w:val="000000"/>
        <w:sz w:val="28"/>
        <w:szCs w:val="28"/>
      </w:rPr>
      <w:t>附件</w:t>
    </w:r>
    <w:r w:rsidR="00992A44">
      <w:rPr>
        <w:rFonts w:ascii="微軟正黑體" w:eastAsia="微軟正黑體" w:hAnsi="微軟正黑體" w:cs="微軟正黑體"/>
        <w:color w:val="000000"/>
        <w:sz w:val="28"/>
        <w:szCs w:val="28"/>
      </w:rPr>
      <w:t>2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EB6968" w:rsidRDefault="00EB6968">
    <w:pPr>
      <w:pStyle w:val="ab"/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CF57E3"/>
    <w:multiLevelType w:val="multilevel"/>
    <w:tmpl w:val="D4B0EC8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202D19A9"/>
    <w:multiLevelType w:val="multilevel"/>
    <w:tmpl w:val="583C552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5D2D3F87"/>
    <w:multiLevelType w:val="multilevel"/>
    <w:tmpl w:val="DAF0B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a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824157929">
    <w:abstractNumId w:val="0"/>
  </w:num>
  <w:num w:numId="2" w16cid:durableId="1438330714">
    <w:abstractNumId w:val="1"/>
  </w:num>
  <w:num w:numId="3" w16cid:durableId="84817679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8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27E9"/>
    <w:rsid w:val="007D3C31"/>
    <w:rsid w:val="0084300D"/>
    <w:rsid w:val="00992A44"/>
    <w:rsid w:val="00A1479A"/>
    <w:rsid w:val="00B03F9F"/>
    <w:rsid w:val="00C727E9"/>
    <w:rsid w:val="00DC39B2"/>
    <w:rsid w:val="00EB6968"/>
    <w:rsid w:val="00F047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28DF108"/>
  <w15:docId w15:val="{C5553267-644B-E948-8C68-9873D8499F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widowControl w:val="0"/>
      <w:suppressAutoHyphens/>
      <w:adjustRightInd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kern w:val="2"/>
      <w:position w:val="-1"/>
      <w:sz w:val="24"/>
    </w:rPr>
  </w:style>
  <w:style w:type="paragraph" w:styleId="1">
    <w:name w:val="heading 1"/>
    <w:basedOn w:val="a0"/>
    <w:next w:val="a0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2">
    <w:name w:val="heading 2"/>
    <w:basedOn w:val="a0"/>
    <w:next w:val="a0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0"/>
    <w:next w:val="a0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0"/>
    <w:next w:val="a0"/>
    <w:uiPriority w:val="9"/>
    <w:semiHidden/>
    <w:unhideWhenUsed/>
    <w:qFormat/>
    <w:pPr>
      <w:keepNext/>
      <w:keepLines/>
      <w:spacing w:before="240" w:after="40"/>
      <w:outlineLvl w:val="3"/>
    </w:pPr>
    <w:rPr>
      <w:b/>
      <w:szCs w:val="24"/>
    </w:rPr>
  </w:style>
  <w:style w:type="paragraph" w:styleId="5">
    <w:name w:val="heading 5"/>
    <w:basedOn w:val="a0"/>
    <w:next w:val="a0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0"/>
    <w:next w:val="a0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Title"/>
    <w:basedOn w:val="a0"/>
    <w:next w:val="a0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7">
    <w:name w:val="樣式17"/>
    <w:basedOn w:val="a0"/>
    <w:pPr>
      <w:spacing w:before="120" w:line="360" w:lineRule="atLeast"/>
      <w:ind w:left="1418" w:hanging="1418"/>
      <w:jc w:val="both"/>
    </w:pPr>
    <w:rPr>
      <w:rFonts w:ascii="全真楷書" w:eastAsia="全真楷書"/>
      <w:kern w:val="0"/>
      <w:sz w:val="28"/>
    </w:rPr>
  </w:style>
  <w:style w:type="paragraph" w:customStyle="1" w:styleId="19">
    <w:name w:val="樣式19"/>
    <w:basedOn w:val="a0"/>
    <w:pPr>
      <w:spacing w:line="240" w:lineRule="atLeast"/>
      <w:ind w:left="2552" w:hanging="567"/>
      <w:jc w:val="both"/>
    </w:pPr>
    <w:rPr>
      <w:rFonts w:ascii="全真楷書" w:eastAsia="全真楷書"/>
      <w:kern w:val="0"/>
      <w:sz w:val="28"/>
    </w:rPr>
  </w:style>
  <w:style w:type="paragraph" w:customStyle="1" w:styleId="27">
    <w:name w:val="樣式27"/>
    <w:basedOn w:val="a0"/>
    <w:pPr>
      <w:spacing w:line="360" w:lineRule="atLeast"/>
      <w:ind w:left="1418" w:firstLine="567"/>
      <w:jc w:val="both"/>
    </w:pPr>
    <w:rPr>
      <w:rFonts w:ascii="全真楷書" w:eastAsia="全真楷書"/>
      <w:kern w:val="0"/>
      <w:sz w:val="28"/>
    </w:rPr>
  </w:style>
  <w:style w:type="paragraph" w:styleId="a5">
    <w:name w:val="Plain Text"/>
    <w:basedOn w:val="a0"/>
    <w:rPr>
      <w:rFonts w:ascii="細明體" w:eastAsia="細明體" w:hAnsi="Courier New"/>
    </w:rPr>
  </w:style>
  <w:style w:type="paragraph" w:styleId="20">
    <w:name w:val="Body Text 2"/>
    <w:basedOn w:val="a0"/>
    <w:pPr>
      <w:ind w:left="720"/>
    </w:pPr>
  </w:style>
  <w:style w:type="paragraph" w:styleId="21">
    <w:name w:val="Body Text Indent 2"/>
    <w:basedOn w:val="a0"/>
    <w:pPr>
      <w:ind w:left="1260"/>
    </w:pPr>
  </w:style>
  <w:style w:type="paragraph" w:customStyle="1" w:styleId="0">
    <w:name w:val="樣式0"/>
    <w:basedOn w:val="a0"/>
    <w:pPr>
      <w:spacing w:before="120" w:line="240" w:lineRule="atLeast"/>
      <w:ind w:left="567" w:hanging="567"/>
      <w:jc w:val="both"/>
    </w:pPr>
    <w:rPr>
      <w:kern w:val="0"/>
      <w:sz w:val="28"/>
    </w:rPr>
  </w:style>
  <w:style w:type="paragraph" w:customStyle="1" w:styleId="210">
    <w:name w:val="樣式21"/>
    <w:basedOn w:val="17"/>
    <w:pPr>
      <w:ind w:left="1701" w:hanging="1701"/>
    </w:pPr>
  </w:style>
  <w:style w:type="paragraph" w:customStyle="1" w:styleId="22">
    <w:name w:val="樣式22"/>
    <w:basedOn w:val="19"/>
    <w:pPr>
      <w:ind w:left="2835"/>
    </w:pPr>
  </w:style>
  <w:style w:type="paragraph" w:styleId="30">
    <w:name w:val="Body Text Indent 3"/>
    <w:basedOn w:val="a0"/>
    <w:pPr>
      <w:ind w:left="720" w:hanging="720"/>
    </w:pPr>
  </w:style>
  <w:style w:type="paragraph" w:customStyle="1" w:styleId="a6">
    <w:name w:val="一"/>
    <w:basedOn w:val="a0"/>
    <w:pPr>
      <w:spacing w:before="120" w:after="60" w:line="300" w:lineRule="auto"/>
      <w:ind w:left="567" w:hanging="567"/>
    </w:pPr>
    <w:rPr>
      <w:rFonts w:ascii="華康細明體" w:eastAsia="華康細明體"/>
      <w:spacing w:val="10"/>
      <w:kern w:val="0"/>
      <w:sz w:val="28"/>
    </w:rPr>
  </w:style>
  <w:style w:type="paragraph" w:customStyle="1" w:styleId="10">
    <w:name w:val="1."/>
    <w:basedOn w:val="a0"/>
    <w:pPr>
      <w:spacing w:line="288" w:lineRule="auto"/>
      <w:ind w:left="1020" w:hanging="340"/>
    </w:pPr>
    <w:rPr>
      <w:rFonts w:ascii="華康細明體" w:eastAsia="華康細明體"/>
      <w:spacing w:val="10"/>
      <w:kern w:val="0"/>
      <w:sz w:val="28"/>
    </w:rPr>
  </w:style>
  <w:style w:type="paragraph" w:customStyle="1" w:styleId="71">
    <w:name w:val="樣式71"/>
    <w:basedOn w:val="a0"/>
    <w:pPr>
      <w:spacing w:line="360" w:lineRule="atLeast"/>
      <w:ind w:left="1599" w:hanging="1599"/>
    </w:pPr>
    <w:rPr>
      <w:spacing w:val="14"/>
      <w:kern w:val="0"/>
    </w:rPr>
  </w:style>
  <w:style w:type="paragraph" w:customStyle="1" w:styleId="50">
    <w:name w:val="樣式5"/>
    <w:basedOn w:val="a0"/>
    <w:pPr>
      <w:spacing w:line="360" w:lineRule="atLeast"/>
      <w:ind w:left="794"/>
    </w:pPr>
    <w:rPr>
      <w:spacing w:val="14"/>
      <w:kern w:val="0"/>
    </w:rPr>
  </w:style>
  <w:style w:type="paragraph" w:customStyle="1" w:styleId="23">
    <w:name w:val="樣式2"/>
    <w:basedOn w:val="a0"/>
    <w:pPr>
      <w:spacing w:line="360" w:lineRule="atLeast"/>
      <w:ind w:left="1077" w:hanging="1077"/>
    </w:pPr>
    <w:rPr>
      <w:spacing w:val="14"/>
      <w:kern w:val="0"/>
    </w:rPr>
  </w:style>
  <w:style w:type="paragraph" w:styleId="a7">
    <w:name w:val="Block Text"/>
    <w:basedOn w:val="a0"/>
    <w:pPr>
      <w:spacing w:line="300" w:lineRule="atLeast"/>
      <w:ind w:left="567" w:right="-17" w:hanging="567"/>
      <w:jc w:val="both"/>
    </w:pPr>
    <w:rPr>
      <w:rFonts w:ascii="新細明體"/>
    </w:rPr>
  </w:style>
  <w:style w:type="paragraph" w:customStyle="1" w:styleId="60">
    <w:name w:val="樣式6"/>
    <w:basedOn w:val="23"/>
  </w:style>
  <w:style w:type="paragraph" w:customStyle="1" w:styleId="a">
    <w:name w:val="內縮"/>
    <w:basedOn w:val="a0"/>
    <w:pPr>
      <w:widowControl/>
      <w:numPr>
        <w:ilvl w:val="11"/>
        <w:numId w:val="3"/>
      </w:numPr>
      <w:autoSpaceDE w:val="0"/>
      <w:autoSpaceDN w:val="0"/>
      <w:spacing w:line="560" w:lineRule="atLeast"/>
      <w:ind w:left="600" w:right="-726" w:hanging="600"/>
      <w:jc w:val="both"/>
      <w:textAlignment w:val="center"/>
    </w:pPr>
    <w:rPr>
      <w:rFonts w:ascii="全真楷書" w:eastAsia="全真楷書"/>
      <w:kern w:val="0"/>
      <w:sz w:val="32"/>
    </w:rPr>
  </w:style>
  <w:style w:type="paragraph" w:styleId="a8">
    <w:name w:val="footer"/>
    <w:basedOn w:val="a0"/>
    <w:pPr>
      <w:tabs>
        <w:tab w:val="center" w:pos="4153"/>
        <w:tab w:val="right" w:pos="8306"/>
      </w:tabs>
    </w:pPr>
    <w:rPr>
      <w:sz w:val="20"/>
    </w:rPr>
  </w:style>
  <w:style w:type="character" w:styleId="a9">
    <w:name w:val="page number"/>
    <w:basedOn w:val="a1"/>
    <w:rPr>
      <w:w w:val="100"/>
      <w:position w:val="-1"/>
      <w:effect w:val="none"/>
      <w:vertAlign w:val="baseline"/>
      <w:cs w:val="0"/>
      <w:em w:val="none"/>
    </w:rPr>
  </w:style>
  <w:style w:type="paragraph" w:customStyle="1" w:styleId="7">
    <w:name w:val="樣式7"/>
    <w:basedOn w:val="23"/>
    <w:pPr>
      <w:ind w:left="1361" w:hanging="1361"/>
    </w:pPr>
  </w:style>
  <w:style w:type="paragraph" w:customStyle="1" w:styleId="31">
    <w:name w:val="樣式3"/>
    <w:basedOn w:val="a0"/>
    <w:pPr>
      <w:spacing w:line="360" w:lineRule="atLeast"/>
      <w:ind w:left="2098" w:hanging="510"/>
    </w:pPr>
    <w:rPr>
      <w:rFonts w:ascii="全真楷書" w:eastAsia="全真楷書"/>
      <w:spacing w:val="14"/>
      <w:kern w:val="0"/>
    </w:rPr>
  </w:style>
  <w:style w:type="paragraph" w:customStyle="1" w:styleId="230">
    <w:name w:val="樣式23"/>
    <w:basedOn w:val="22"/>
    <w:pPr>
      <w:ind w:left="3005" w:hanging="737"/>
    </w:pPr>
  </w:style>
  <w:style w:type="paragraph" w:styleId="aa">
    <w:name w:val="Body Text Indent"/>
    <w:basedOn w:val="a0"/>
    <w:pPr>
      <w:spacing w:line="300" w:lineRule="atLeast"/>
      <w:ind w:left="1134" w:hanging="567"/>
      <w:jc w:val="both"/>
    </w:pPr>
    <w:rPr>
      <w:rFonts w:ascii="標楷體" w:eastAsia="標楷體"/>
      <w:color w:val="000000"/>
    </w:rPr>
  </w:style>
  <w:style w:type="paragraph" w:styleId="ab">
    <w:name w:val="header"/>
    <w:basedOn w:val="a0"/>
    <w:pPr>
      <w:tabs>
        <w:tab w:val="center" w:pos="4153"/>
        <w:tab w:val="right" w:pos="8306"/>
      </w:tabs>
    </w:pPr>
    <w:rPr>
      <w:sz w:val="20"/>
    </w:rPr>
  </w:style>
  <w:style w:type="paragraph" w:customStyle="1" w:styleId="111">
    <w:name w:val="1.1.1"/>
    <w:basedOn w:val="a0"/>
    <w:pPr>
      <w:tabs>
        <w:tab w:val="left" w:pos="1560"/>
      </w:tabs>
      <w:adjustRightInd/>
      <w:spacing w:line="320" w:lineRule="atLeast"/>
      <w:ind w:leftChars="550" w:left="1796" w:hangingChars="183" w:hanging="476"/>
      <w:jc w:val="both"/>
      <w:textAlignment w:val="auto"/>
    </w:pPr>
    <w:rPr>
      <w:sz w:val="26"/>
    </w:rPr>
  </w:style>
  <w:style w:type="paragraph" w:styleId="Web">
    <w:name w:val="Normal (Web)"/>
    <w:basedOn w:val="a0"/>
    <w:pPr>
      <w:widowControl/>
      <w:adjustRightInd/>
      <w:spacing w:before="100" w:beforeAutospacing="1" w:after="100" w:afterAutospacing="1"/>
      <w:textAlignment w:val="auto"/>
    </w:pPr>
    <w:rPr>
      <w:rFonts w:ascii="新細明體" w:cs="新細明體"/>
      <w:color w:val="000000"/>
      <w:kern w:val="0"/>
      <w:szCs w:val="24"/>
    </w:rPr>
  </w:style>
  <w:style w:type="paragraph" w:styleId="ac">
    <w:name w:val="Salutation"/>
    <w:basedOn w:val="a0"/>
    <w:next w:val="a0"/>
    <w:rPr>
      <w:rFonts w:ascii="標楷體" w:eastAsia="標楷體" w:hAnsi="標楷體"/>
      <w:color w:val="000000"/>
      <w:sz w:val="28"/>
    </w:rPr>
  </w:style>
  <w:style w:type="paragraph" w:styleId="ad">
    <w:name w:val="Closing"/>
    <w:basedOn w:val="a0"/>
    <w:pPr>
      <w:ind w:leftChars="1800" w:left="100"/>
    </w:pPr>
    <w:rPr>
      <w:rFonts w:ascii="標楷體" w:eastAsia="標楷體" w:hAnsi="標楷體"/>
      <w:color w:val="000000"/>
      <w:sz w:val="28"/>
    </w:rPr>
  </w:style>
  <w:style w:type="paragraph" w:customStyle="1" w:styleId="ae">
    <w:name w:val="一、"/>
    <w:basedOn w:val="a0"/>
    <w:pPr>
      <w:adjustRightInd/>
      <w:spacing w:line="500" w:lineRule="atLeast"/>
      <w:ind w:left="567" w:hanging="567"/>
      <w:jc w:val="both"/>
      <w:textAlignment w:val="auto"/>
    </w:pPr>
    <w:rPr>
      <w:rFonts w:ascii="華康楷書體W5" w:eastAsia="華康楷書體W5"/>
      <w:sz w:val="28"/>
    </w:rPr>
  </w:style>
  <w:style w:type="paragraph" w:customStyle="1" w:styleId="af">
    <w:name w:val="(一)"/>
    <w:basedOn w:val="a0"/>
    <w:pPr>
      <w:adjustRightInd/>
      <w:spacing w:line="500" w:lineRule="atLeast"/>
      <w:ind w:left="1134" w:hanging="567"/>
      <w:jc w:val="both"/>
      <w:textAlignment w:val="auto"/>
    </w:pPr>
    <w:rPr>
      <w:rFonts w:ascii="華康楷書體W5" w:eastAsia="華康楷書體W5"/>
      <w:sz w:val="28"/>
    </w:rPr>
  </w:style>
  <w:style w:type="paragraph" w:customStyle="1" w:styleId="40">
    <w:name w:val="樣式4"/>
    <w:basedOn w:val="31"/>
    <w:pPr>
      <w:tabs>
        <w:tab w:val="left" w:pos="2954"/>
        <w:tab w:val="left" w:pos="5856"/>
      </w:tabs>
      <w:overflowPunct w:val="0"/>
      <w:autoSpaceDE w:val="0"/>
      <w:autoSpaceDN w:val="0"/>
      <w:spacing w:line="240" w:lineRule="auto"/>
      <w:ind w:left="1200" w:hanging="600"/>
    </w:pPr>
    <w:rPr>
      <w:rFonts w:ascii="標楷體" w:eastAsia="標楷體"/>
      <w:snapToGrid w:val="0"/>
      <w:color w:val="000000"/>
      <w:spacing w:val="0"/>
    </w:rPr>
  </w:style>
  <w:style w:type="paragraph" w:customStyle="1" w:styleId="24">
    <w:name w:val="2"/>
    <w:basedOn w:val="a0"/>
    <w:pPr>
      <w:spacing w:line="360" w:lineRule="atLeast"/>
      <w:ind w:left="512"/>
    </w:pPr>
    <w:rPr>
      <w:rFonts w:ascii="標楷體" w:eastAsia="標楷體"/>
      <w:kern w:val="0"/>
    </w:rPr>
  </w:style>
  <w:style w:type="character" w:styleId="af0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af1">
    <w:name w:val="Balloon Text"/>
    <w:basedOn w:val="a0"/>
    <w:rPr>
      <w:rFonts w:ascii="Arial" w:hAnsi="Arial"/>
      <w:sz w:val="18"/>
      <w:szCs w:val="18"/>
    </w:rPr>
  </w:style>
  <w:style w:type="table" w:styleId="af2">
    <w:name w:val="Table Grid"/>
    <w:basedOn w:val="a2"/>
    <w:pPr>
      <w:widowControl w:val="0"/>
      <w:suppressAutoHyphens/>
      <w:adjustRightInd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3">
    <w:name w:val="annotation text"/>
    <w:basedOn w:val="a0"/>
    <w:pPr>
      <w:adjustRightInd/>
      <w:textAlignment w:val="auto"/>
    </w:pPr>
  </w:style>
  <w:style w:type="paragraph" w:styleId="af4">
    <w:name w:val="Subtitle"/>
    <w:basedOn w:val="a0"/>
    <w:next w:val="a0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5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6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7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8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ljeJw13TvEEss346Zc1JF/N1YEA==">CgMxLjAaHwoBMBIaChgICVIUChJ0YWJsZS5jdW5xMnQ2bDY3bWUyDmgud25zdzl4cHRveWl2Mg5oLnZ1bTBiMnBsYmJycjIOaC50NnNrczk0bzhwbDgyDmguamdlejR4dHlrZGlpMg5oLnVxd2ZjYWoxZDNiczIOaC5kbnM4ZWRzMnF5bzgyDmguNGE3eWI0amY1aDQ4Mg5oLjRhN3liNGpmNWg0ODgAciExWlN1TUZQckppcnB5QUZKZmNxenk1aFRYZDF3bFJKMDg=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163</Words>
  <Characters>930</Characters>
  <Application>Microsoft Office Word</Application>
  <DocSecurity>0</DocSecurity>
  <Lines>7</Lines>
  <Paragraphs>2</Paragraphs>
  <ScaleCrop>false</ScaleCrop>
  <Company/>
  <LinksUpToDate>false</LinksUpToDate>
  <CharactersWithSpaces>1091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idb</dc:creator>
  <cp:lastModifiedBy>台灣設計研究院 財團法人</cp:lastModifiedBy>
  <cp:revision>4</cp:revision>
  <dcterms:created xsi:type="dcterms:W3CDTF">2021-07-16T03:45:00Z</dcterms:created>
  <dcterms:modified xsi:type="dcterms:W3CDTF">2025-03-16T23:12:00Z</dcterms:modified>
</cp:coreProperties>
</file>