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86EC0C" w14:textId="77777777" w:rsidR="00E9644F" w:rsidRDefault="00000000">
      <w:pPr>
        <w:pBdr>
          <w:top w:val="nil"/>
          <w:left w:val="nil"/>
          <w:bottom w:val="nil"/>
          <w:right w:val="nil"/>
          <w:between w:val="nil"/>
        </w:pBdr>
        <w:spacing w:line="240" w:lineRule="auto"/>
        <w:ind w:left="1" w:hanging="3"/>
        <w:jc w:val="center"/>
        <w:rPr>
          <w:rFonts w:ascii="微軟正黑體" w:eastAsia="微軟正黑體" w:hAnsi="微軟正黑體" w:cs="微軟正黑體"/>
          <w:color w:val="000000"/>
          <w:sz w:val="32"/>
          <w:szCs w:val="32"/>
        </w:rPr>
      </w:pPr>
      <w:r>
        <w:rPr>
          <w:rFonts w:ascii="微軟正黑體" w:eastAsia="微軟正黑體" w:hAnsi="微軟正黑體" w:cs="微軟正黑體"/>
          <w:b/>
          <w:color w:val="000000"/>
          <w:sz w:val="32"/>
          <w:szCs w:val="32"/>
        </w:rPr>
        <w:t>財團法人台灣設計研究院</w:t>
      </w:r>
    </w:p>
    <w:p w14:paraId="701A5E99" w14:textId="77777777" w:rsidR="00E9644F" w:rsidRDefault="00000000">
      <w:pPr>
        <w:pBdr>
          <w:top w:val="nil"/>
          <w:left w:val="nil"/>
          <w:bottom w:val="nil"/>
          <w:right w:val="nil"/>
          <w:between w:val="nil"/>
        </w:pBdr>
        <w:spacing w:line="240" w:lineRule="auto"/>
        <w:ind w:left="1" w:hanging="3"/>
        <w:jc w:val="center"/>
        <w:rPr>
          <w:rFonts w:ascii="微軟正黑體" w:eastAsia="微軟正黑體" w:hAnsi="微軟正黑體" w:cs="微軟正黑體"/>
          <w:sz w:val="32"/>
          <w:szCs w:val="32"/>
        </w:rPr>
      </w:pPr>
      <w:r>
        <w:rPr>
          <w:rFonts w:ascii="微軟正黑體" w:eastAsia="微軟正黑體" w:hAnsi="微軟正黑體" w:cs="微軟正黑體"/>
          <w:b/>
          <w:sz w:val="32"/>
          <w:szCs w:val="32"/>
        </w:rPr>
        <w:t>氣象署署本部公共服務空間暨展示體驗升級-空間設計</w:t>
      </w:r>
    </w:p>
    <w:p w14:paraId="3EAC1668" w14:textId="77777777" w:rsidR="00E9644F" w:rsidRDefault="00000000">
      <w:pPr>
        <w:pBdr>
          <w:top w:val="nil"/>
          <w:left w:val="nil"/>
          <w:bottom w:val="nil"/>
          <w:right w:val="nil"/>
          <w:between w:val="nil"/>
        </w:pBdr>
        <w:spacing w:line="240" w:lineRule="auto"/>
        <w:ind w:left="1" w:hanging="3"/>
        <w:jc w:val="center"/>
        <w:rPr>
          <w:rFonts w:ascii="微軟正黑體" w:eastAsia="微軟正黑體" w:hAnsi="微軟正黑體" w:cs="微軟正黑體"/>
          <w:color w:val="000000"/>
          <w:sz w:val="28"/>
          <w:szCs w:val="28"/>
        </w:rPr>
      </w:pPr>
      <w:r>
        <w:rPr>
          <w:rFonts w:ascii="微軟正黑體" w:eastAsia="微軟正黑體" w:hAnsi="微軟正黑體" w:cs="微軟正黑體"/>
          <w:b/>
          <w:color w:val="000000"/>
          <w:sz w:val="32"/>
          <w:szCs w:val="32"/>
        </w:rPr>
        <w:t>徵求建議書</w:t>
      </w:r>
    </w:p>
    <w:p w14:paraId="6AE47350" w14:textId="77777777" w:rsidR="00E9644F" w:rsidRDefault="00000000">
      <w:pPr>
        <w:keepNext/>
        <w:keepLines/>
        <w:pBdr>
          <w:top w:val="nil"/>
          <w:left w:val="nil"/>
          <w:bottom w:val="nil"/>
          <w:right w:val="nil"/>
          <w:between w:val="nil"/>
        </w:pBdr>
        <w:spacing w:before="400" w:after="120" w:line="276" w:lineRule="auto"/>
        <w:ind w:left="0" w:hanging="2"/>
        <w:rPr>
          <w:rFonts w:ascii="Noto Sans TC" w:eastAsia="Noto Sans TC" w:hAnsi="Noto Sans TC" w:cs="Noto Sans TC"/>
          <w:b/>
          <w:color w:val="000000"/>
          <w:sz w:val="22"/>
          <w:szCs w:val="22"/>
        </w:rPr>
      </w:pPr>
      <w:bookmarkStart w:id="0" w:name="_heading=h.wnsw9xptoyiv" w:colFirst="0" w:colLast="0"/>
      <w:bookmarkEnd w:id="0"/>
      <w:r>
        <w:rPr>
          <w:rFonts w:ascii="Noto Sans TC" w:eastAsia="Noto Sans TC" w:hAnsi="Noto Sans TC" w:cs="Noto Sans TC"/>
          <w:b/>
          <w:color w:val="000000"/>
          <w:sz w:val="22"/>
          <w:szCs w:val="22"/>
        </w:rPr>
        <w:t>一、計畫背景</w:t>
      </w:r>
    </w:p>
    <w:p w14:paraId="5928B49B" w14:textId="77777777" w:rsidR="00E9644F" w:rsidRDefault="00000000">
      <w:pPr>
        <w:keepNext/>
        <w:keepLines/>
        <w:numPr>
          <w:ilvl w:val="0"/>
          <w:numId w:val="1"/>
        </w:numPr>
        <w:pBdr>
          <w:top w:val="nil"/>
          <w:left w:val="nil"/>
          <w:bottom w:val="nil"/>
          <w:right w:val="nil"/>
          <w:between w:val="nil"/>
        </w:pBdr>
        <w:spacing w:before="320" w:after="80" w:line="276" w:lineRule="auto"/>
        <w:ind w:left="0" w:hanging="2"/>
        <w:rPr>
          <w:rFonts w:ascii="Noto Sans TC" w:eastAsia="Noto Sans TC" w:hAnsi="Noto Sans TC" w:cs="Noto Sans TC"/>
          <w:b/>
          <w:color w:val="434343"/>
          <w:sz w:val="22"/>
          <w:szCs w:val="22"/>
        </w:rPr>
      </w:pPr>
      <w:bookmarkStart w:id="1" w:name="_heading=h.vum0b2plbbrr" w:colFirst="0" w:colLast="0"/>
      <w:bookmarkEnd w:id="1"/>
      <w:r>
        <w:rPr>
          <w:rFonts w:ascii="Noto Sans TC" w:eastAsia="Noto Sans TC" w:hAnsi="Noto Sans TC" w:cs="Noto Sans TC"/>
          <w:color w:val="434343"/>
          <w:sz w:val="22"/>
          <w:szCs w:val="22"/>
        </w:rPr>
        <w:t>緣起</w:t>
      </w:r>
    </w:p>
    <w:p w14:paraId="09A5718F"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為促進交通部中央氣象署署本部之公共服務升級，氣象署與台灣設計研究院合作，藉由共創及共同投入資源，透過完善的設計流程、建立標竿典範，為國家重要氣象服務環境建構友善及專業形象。</w:t>
      </w:r>
    </w:p>
    <w:p w14:paraId="2B0226DC" w14:textId="77777777" w:rsidR="00E9644F" w:rsidRDefault="00000000">
      <w:pPr>
        <w:keepNext/>
        <w:keepLines/>
        <w:numPr>
          <w:ilvl w:val="0"/>
          <w:numId w:val="1"/>
        </w:numPr>
        <w:pBdr>
          <w:top w:val="nil"/>
          <w:left w:val="nil"/>
          <w:bottom w:val="nil"/>
          <w:right w:val="nil"/>
          <w:between w:val="nil"/>
        </w:pBdr>
        <w:spacing w:before="320" w:after="80" w:line="276" w:lineRule="auto"/>
        <w:ind w:left="0" w:hanging="2"/>
        <w:rPr>
          <w:rFonts w:ascii="Noto Sans TC" w:eastAsia="Noto Sans TC" w:hAnsi="Noto Sans TC" w:cs="Noto Sans TC"/>
          <w:b/>
          <w:color w:val="434343"/>
          <w:sz w:val="22"/>
          <w:szCs w:val="22"/>
        </w:rPr>
      </w:pPr>
      <w:bookmarkStart w:id="2" w:name="_heading=h.t6sks94o8pl8" w:colFirst="0" w:colLast="0"/>
      <w:bookmarkEnd w:id="2"/>
      <w:r>
        <w:rPr>
          <w:rFonts w:ascii="Noto Sans TC" w:eastAsia="Noto Sans TC" w:hAnsi="Noto Sans TC" w:cs="Noto Sans TC"/>
          <w:color w:val="434343"/>
          <w:sz w:val="22"/>
          <w:szCs w:val="22"/>
        </w:rPr>
        <w:t>計畫說明</w:t>
      </w:r>
    </w:p>
    <w:p w14:paraId="0C998A56"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氣象資訊影響我國交通安全、環境保護、災害防救、經濟生活等各方面的決策。近年來全球許多重要的大趨勢，如氣候變遷、新興科技、再生能源、永續發展目標(SDGs)、環境社會與公司治理(ESG)、人口結構等，也與氣象業務息息相關。</w:t>
      </w:r>
    </w:p>
    <w:p w14:paraId="795CB27F"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面對氣候變遷的挑戰，氣象署為加強對民眾的防災教育宣導，與提升民眾對氣象業務的了解，期望透過署本部大廳及展示空間的改造，以提升署本部對外形象、服務體驗及教育推廣的功能，彰顯氣象服務專業性為本案的核心價值。</w:t>
      </w:r>
    </w:p>
    <w:p w14:paraId="7438A73F" w14:textId="77777777" w:rsidR="00E9644F" w:rsidRDefault="00000000">
      <w:pPr>
        <w:keepNext/>
        <w:keepLines/>
        <w:pBdr>
          <w:top w:val="nil"/>
          <w:left w:val="nil"/>
          <w:bottom w:val="nil"/>
          <w:right w:val="nil"/>
          <w:between w:val="nil"/>
        </w:pBdr>
        <w:spacing w:before="400" w:after="120" w:line="276" w:lineRule="auto"/>
        <w:ind w:left="0" w:hanging="2"/>
        <w:rPr>
          <w:rFonts w:ascii="Noto Sans TC" w:eastAsia="Noto Sans TC" w:hAnsi="Noto Sans TC" w:cs="Noto Sans TC"/>
          <w:sz w:val="22"/>
          <w:szCs w:val="22"/>
        </w:rPr>
      </w:pPr>
      <w:bookmarkStart w:id="3" w:name="_heading=h.jgez4xtykdii" w:colFirst="0" w:colLast="0"/>
      <w:bookmarkEnd w:id="3"/>
      <w:r>
        <w:rPr>
          <w:rFonts w:ascii="Noto Sans TC" w:eastAsia="Noto Sans TC" w:hAnsi="Noto Sans TC" w:cs="Noto Sans TC"/>
          <w:b/>
          <w:sz w:val="22"/>
          <w:szCs w:val="22"/>
        </w:rPr>
        <w:t>二、預算額度：</w:t>
      </w:r>
      <w:r>
        <w:rPr>
          <w:rFonts w:ascii="Noto Sans TC" w:eastAsia="Noto Sans TC" w:hAnsi="Noto Sans TC" w:cs="Noto Sans TC"/>
          <w:sz w:val="22"/>
          <w:szCs w:val="22"/>
        </w:rPr>
        <w:t>新台幣1,300,000元整（含稅）</w:t>
      </w:r>
    </w:p>
    <w:p w14:paraId="3C75187E" w14:textId="77777777" w:rsidR="00E9644F" w:rsidRDefault="00000000">
      <w:pPr>
        <w:keepNext/>
        <w:keepLines/>
        <w:pBdr>
          <w:top w:val="nil"/>
          <w:left w:val="nil"/>
          <w:bottom w:val="nil"/>
          <w:right w:val="nil"/>
          <w:between w:val="nil"/>
        </w:pBdr>
        <w:spacing w:before="400" w:after="120" w:line="276" w:lineRule="auto"/>
        <w:ind w:left="0" w:hanging="2"/>
        <w:rPr>
          <w:b/>
          <w:sz w:val="48"/>
          <w:szCs w:val="48"/>
        </w:rPr>
      </w:pPr>
      <w:bookmarkStart w:id="4" w:name="_heading=h.uqwfcaj1d3bs" w:colFirst="0" w:colLast="0"/>
      <w:bookmarkEnd w:id="4"/>
      <w:r>
        <w:rPr>
          <w:rFonts w:ascii="Noto Sans TC" w:eastAsia="Noto Sans TC" w:hAnsi="Noto Sans TC" w:cs="Noto Sans TC"/>
          <w:b/>
          <w:sz w:val="22"/>
          <w:szCs w:val="22"/>
        </w:rPr>
        <w:t>三、履約期程：</w:t>
      </w:r>
      <w:r>
        <w:rPr>
          <w:rFonts w:ascii="Noto Sans TC" w:eastAsia="Noto Sans TC" w:hAnsi="Noto Sans TC" w:cs="Noto Sans TC"/>
          <w:sz w:val="22"/>
          <w:szCs w:val="22"/>
        </w:rPr>
        <w:t>決標次日起至114年11月28日止</w:t>
      </w:r>
    </w:p>
    <w:p w14:paraId="7339764F" w14:textId="77777777" w:rsidR="00E9644F" w:rsidRDefault="00000000">
      <w:pPr>
        <w:keepNext/>
        <w:keepLines/>
        <w:pBdr>
          <w:top w:val="nil"/>
          <w:left w:val="nil"/>
          <w:bottom w:val="nil"/>
          <w:right w:val="nil"/>
          <w:between w:val="nil"/>
        </w:pBdr>
        <w:spacing w:before="400" w:after="120" w:line="276" w:lineRule="auto"/>
        <w:ind w:left="0" w:hanging="2"/>
        <w:rPr>
          <w:rFonts w:ascii="Noto Sans TC" w:eastAsia="Noto Sans TC" w:hAnsi="Noto Sans TC" w:cs="Noto Sans TC"/>
          <w:b/>
          <w:sz w:val="22"/>
          <w:szCs w:val="22"/>
        </w:rPr>
      </w:pPr>
      <w:bookmarkStart w:id="5" w:name="_heading=h.dns8eds2qyo8" w:colFirst="0" w:colLast="0"/>
      <w:bookmarkEnd w:id="5"/>
      <w:r>
        <w:rPr>
          <w:rFonts w:ascii="Noto Sans TC" w:eastAsia="Noto Sans TC" w:hAnsi="Noto Sans TC" w:cs="Noto Sans TC"/>
          <w:b/>
          <w:sz w:val="22"/>
          <w:szCs w:val="22"/>
        </w:rPr>
        <w:t>四、規格需求：</w:t>
      </w:r>
    </w:p>
    <w:p w14:paraId="7E7C9B0C"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本案以署本部公共場域：一樓大廳空間及地下一樓展示空間爲改造範圍，以空間服務動線爲基礎，打造具系統、友善且有魅力的場域，擬定具有系統性、模組化的空間規劃建議，並提出細部設計設計規劃，項目包含：</w:t>
      </w:r>
    </w:p>
    <w:sdt>
      <w:sdtPr>
        <w:tag w:val="goog_rdk_0"/>
        <w:id w:val="-805390480"/>
        <w:lock w:val="contentLocked"/>
      </w:sdtPr>
      <w:sdtContent>
        <w:tbl>
          <w:tblPr>
            <w:tblStyle w:val="af9"/>
            <w:tblW w:w="8385"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95"/>
            <w:gridCol w:w="2595"/>
            <w:gridCol w:w="4995"/>
          </w:tblGrid>
          <w:tr w:rsidR="00E9644F" w14:paraId="4F69BC48" w14:textId="77777777">
            <w:tc>
              <w:tcPr>
                <w:tcW w:w="795" w:type="dxa"/>
                <w:shd w:val="clear" w:color="auto" w:fill="D9D9D9"/>
                <w:tcMar>
                  <w:top w:w="100" w:type="dxa"/>
                  <w:left w:w="100" w:type="dxa"/>
                  <w:bottom w:w="100" w:type="dxa"/>
                  <w:right w:w="100" w:type="dxa"/>
                </w:tcMar>
              </w:tcPr>
              <w:p w14:paraId="0D55205C" w14:textId="77777777" w:rsidR="00E9644F" w:rsidRDefault="00000000">
                <w:pPr>
                  <w:ind w:left="0" w:hanging="2"/>
                  <w:jc w:val="center"/>
                  <w:rPr>
                    <w:rFonts w:ascii="Noto Sans TC" w:eastAsia="Noto Sans TC" w:hAnsi="Noto Sans TC" w:cs="Noto Sans TC"/>
                    <w:sz w:val="22"/>
                    <w:szCs w:val="22"/>
                  </w:rPr>
                </w:pPr>
                <w:r>
                  <w:rPr>
                    <w:rFonts w:ascii="Noto Sans TC" w:eastAsia="Noto Sans TC" w:hAnsi="Noto Sans TC" w:cs="Noto Sans TC"/>
                    <w:sz w:val="22"/>
                    <w:szCs w:val="22"/>
                  </w:rPr>
                  <w:t>序</w:t>
                </w:r>
              </w:p>
            </w:tc>
            <w:tc>
              <w:tcPr>
                <w:tcW w:w="2595" w:type="dxa"/>
                <w:shd w:val="clear" w:color="auto" w:fill="D9D9D9"/>
                <w:tcMar>
                  <w:top w:w="100" w:type="dxa"/>
                  <w:left w:w="100" w:type="dxa"/>
                  <w:bottom w:w="100" w:type="dxa"/>
                  <w:right w:w="100" w:type="dxa"/>
                </w:tcMar>
              </w:tcPr>
              <w:p w14:paraId="15C72CC9" w14:textId="77777777" w:rsidR="00E9644F" w:rsidRDefault="00000000">
                <w:pPr>
                  <w:ind w:left="0" w:hanging="2"/>
                  <w:jc w:val="center"/>
                  <w:rPr>
                    <w:rFonts w:ascii="Noto Sans TC" w:eastAsia="Noto Sans TC" w:hAnsi="Noto Sans TC" w:cs="Noto Sans TC"/>
                    <w:sz w:val="22"/>
                    <w:szCs w:val="22"/>
                  </w:rPr>
                </w:pPr>
                <w:r>
                  <w:rPr>
                    <w:rFonts w:ascii="Noto Sans TC" w:eastAsia="Noto Sans TC" w:hAnsi="Noto Sans TC" w:cs="Noto Sans TC"/>
                    <w:sz w:val="22"/>
                    <w:szCs w:val="22"/>
                  </w:rPr>
                  <w:t>項目</w:t>
                </w:r>
              </w:p>
            </w:tc>
            <w:tc>
              <w:tcPr>
                <w:tcW w:w="4995" w:type="dxa"/>
                <w:shd w:val="clear" w:color="auto" w:fill="D9D9D9"/>
                <w:tcMar>
                  <w:top w:w="100" w:type="dxa"/>
                  <w:left w:w="100" w:type="dxa"/>
                  <w:bottom w:w="100" w:type="dxa"/>
                  <w:right w:w="100" w:type="dxa"/>
                </w:tcMar>
              </w:tcPr>
              <w:p w14:paraId="150DD9D0" w14:textId="77777777" w:rsidR="00E9644F" w:rsidRDefault="00000000">
                <w:pPr>
                  <w:ind w:left="0" w:hanging="2"/>
                  <w:jc w:val="center"/>
                  <w:rPr>
                    <w:rFonts w:ascii="Noto Sans TC" w:eastAsia="Noto Sans TC" w:hAnsi="Noto Sans TC" w:cs="Noto Sans TC"/>
                    <w:sz w:val="22"/>
                    <w:szCs w:val="22"/>
                  </w:rPr>
                </w:pPr>
                <w:r>
                  <w:rPr>
                    <w:rFonts w:ascii="Noto Sans TC" w:eastAsia="Noto Sans TC" w:hAnsi="Noto Sans TC" w:cs="Noto Sans TC"/>
                    <w:sz w:val="22"/>
                    <w:szCs w:val="22"/>
                  </w:rPr>
                  <w:t>內容</w:t>
                </w:r>
              </w:p>
            </w:tc>
          </w:tr>
          <w:tr w:rsidR="00E9644F" w14:paraId="4C6CDB73" w14:textId="77777777">
            <w:tc>
              <w:tcPr>
                <w:tcW w:w="795" w:type="dxa"/>
                <w:shd w:val="clear" w:color="auto" w:fill="auto"/>
                <w:tcMar>
                  <w:top w:w="100" w:type="dxa"/>
                  <w:left w:w="100" w:type="dxa"/>
                  <w:bottom w:w="100" w:type="dxa"/>
                  <w:right w:w="100" w:type="dxa"/>
                </w:tcMar>
              </w:tcPr>
              <w:p w14:paraId="2668E715" w14:textId="77777777" w:rsidR="00E9644F" w:rsidRDefault="00000000">
                <w:pPr>
                  <w:ind w:left="0" w:hanging="2"/>
                  <w:jc w:val="center"/>
                  <w:rPr>
                    <w:rFonts w:ascii="Noto Sans TC" w:eastAsia="Noto Sans TC" w:hAnsi="Noto Sans TC" w:cs="Noto Sans TC"/>
                    <w:sz w:val="22"/>
                    <w:szCs w:val="22"/>
                  </w:rPr>
                </w:pPr>
                <w:r>
                  <w:rPr>
                    <w:rFonts w:ascii="Noto Sans TC" w:eastAsia="Noto Sans TC" w:hAnsi="Noto Sans TC" w:cs="Noto Sans TC"/>
                    <w:sz w:val="22"/>
                    <w:szCs w:val="22"/>
                  </w:rPr>
                  <w:t>1</w:t>
                </w:r>
              </w:p>
            </w:tc>
            <w:tc>
              <w:tcPr>
                <w:tcW w:w="2595" w:type="dxa"/>
                <w:shd w:val="clear" w:color="auto" w:fill="auto"/>
                <w:tcMar>
                  <w:top w:w="100" w:type="dxa"/>
                  <w:left w:w="100" w:type="dxa"/>
                  <w:bottom w:w="100" w:type="dxa"/>
                  <w:right w:w="100" w:type="dxa"/>
                </w:tcMar>
              </w:tcPr>
              <w:p w14:paraId="2175CAB3"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服務動線規劃</w:t>
                </w:r>
              </w:p>
            </w:tc>
            <w:tc>
              <w:tcPr>
                <w:tcW w:w="4995" w:type="dxa"/>
                <w:shd w:val="clear" w:color="auto" w:fill="auto"/>
                <w:tcMar>
                  <w:top w:w="100" w:type="dxa"/>
                  <w:left w:w="100" w:type="dxa"/>
                  <w:bottom w:w="100" w:type="dxa"/>
                  <w:right w:w="100" w:type="dxa"/>
                </w:tcMar>
              </w:tcPr>
              <w:p w14:paraId="3EEE061A"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提出具可行性之使用族群服務動線，須回應分眾分流之動線規劃策略。</w:t>
                </w:r>
              </w:p>
            </w:tc>
          </w:tr>
          <w:tr w:rsidR="00E9644F" w14:paraId="1E0109DB" w14:textId="77777777">
            <w:tc>
              <w:tcPr>
                <w:tcW w:w="795" w:type="dxa"/>
                <w:shd w:val="clear" w:color="auto" w:fill="auto"/>
                <w:tcMar>
                  <w:top w:w="100" w:type="dxa"/>
                  <w:left w:w="100" w:type="dxa"/>
                  <w:bottom w:w="100" w:type="dxa"/>
                  <w:right w:w="100" w:type="dxa"/>
                </w:tcMar>
              </w:tcPr>
              <w:p w14:paraId="072BB9FA" w14:textId="77777777" w:rsidR="00E9644F" w:rsidRDefault="00000000">
                <w:pPr>
                  <w:ind w:left="0" w:hanging="2"/>
                  <w:jc w:val="center"/>
                  <w:rPr>
                    <w:rFonts w:ascii="Noto Sans TC" w:eastAsia="Noto Sans TC" w:hAnsi="Noto Sans TC" w:cs="Noto Sans TC"/>
                    <w:sz w:val="22"/>
                    <w:szCs w:val="22"/>
                  </w:rPr>
                </w:pPr>
                <w:r>
                  <w:rPr>
                    <w:rFonts w:ascii="Noto Sans TC" w:eastAsia="Noto Sans TC" w:hAnsi="Noto Sans TC" w:cs="Noto Sans TC"/>
                    <w:sz w:val="22"/>
                    <w:szCs w:val="22"/>
                  </w:rPr>
                  <w:t>2</w:t>
                </w:r>
              </w:p>
            </w:tc>
            <w:tc>
              <w:tcPr>
                <w:tcW w:w="2595" w:type="dxa"/>
                <w:shd w:val="clear" w:color="auto" w:fill="auto"/>
                <w:tcMar>
                  <w:top w:w="100" w:type="dxa"/>
                  <w:left w:w="100" w:type="dxa"/>
                  <w:bottom w:w="100" w:type="dxa"/>
                  <w:right w:w="100" w:type="dxa"/>
                </w:tcMar>
              </w:tcPr>
              <w:p w14:paraId="338A4E37"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空間機能及使用定位</w:t>
                </w:r>
              </w:p>
            </w:tc>
            <w:tc>
              <w:tcPr>
                <w:tcW w:w="4995" w:type="dxa"/>
                <w:shd w:val="clear" w:color="auto" w:fill="auto"/>
                <w:tcMar>
                  <w:top w:w="100" w:type="dxa"/>
                  <w:left w:w="100" w:type="dxa"/>
                  <w:bottom w:w="100" w:type="dxa"/>
                  <w:right w:w="100" w:type="dxa"/>
                </w:tcMar>
              </w:tcPr>
              <w:p w14:paraId="5BE755C4"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公共服務區：提供可交流休憩、申購服務等多元使用功能區域。</w:t>
                </w:r>
              </w:p>
              <w:p w14:paraId="54D22C79"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展示區：提供常態展示及主題特展空間規劃。</w:t>
                </w:r>
              </w:p>
            </w:tc>
          </w:tr>
          <w:tr w:rsidR="00E9644F" w14:paraId="3FBC702C" w14:textId="77777777">
            <w:tc>
              <w:tcPr>
                <w:tcW w:w="795" w:type="dxa"/>
                <w:shd w:val="clear" w:color="auto" w:fill="auto"/>
                <w:tcMar>
                  <w:top w:w="100" w:type="dxa"/>
                  <w:left w:w="100" w:type="dxa"/>
                  <w:bottom w:w="100" w:type="dxa"/>
                  <w:right w:w="100" w:type="dxa"/>
                </w:tcMar>
              </w:tcPr>
              <w:p w14:paraId="28E3DF9E" w14:textId="77777777" w:rsidR="00E9644F" w:rsidRDefault="00000000">
                <w:pPr>
                  <w:ind w:left="0" w:hanging="2"/>
                  <w:jc w:val="center"/>
                  <w:rPr>
                    <w:rFonts w:ascii="Noto Sans TC" w:eastAsia="Noto Sans TC" w:hAnsi="Noto Sans TC" w:cs="Noto Sans TC"/>
                    <w:sz w:val="22"/>
                    <w:szCs w:val="22"/>
                  </w:rPr>
                </w:pPr>
                <w:r>
                  <w:rPr>
                    <w:rFonts w:ascii="Noto Sans TC" w:eastAsia="Noto Sans TC" w:hAnsi="Noto Sans TC" w:cs="Noto Sans TC"/>
                    <w:sz w:val="22"/>
                    <w:szCs w:val="22"/>
                  </w:rPr>
                  <w:t>3</w:t>
                </w:r>
              </w:p>
            </w:tc>
            <w:tc>
              <w:tcPr>
                <w:tcW w:w="2595" w:type="dxa"/>
                <w:shd w:val="clear" w:color="auto" w:fill="auto"/>
                <w:tcMar>
                  <w:top w:w="100" w:type="dxa"/>
                  <w:left w:w="100" w:type="dxa"/>
                  <w:bottom w:w="100" w:type="dxa"/>
                  <w:right w:w="100" w:type="dxa"/>
                </w:tcMar>
              </w:tcPr>
              <w:p w14:paraId="490667B2"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基本設計</w:t>
                </w:r>
              </w:p>
            </w:tc>
            <w:tc>
              <w:tcPr>
                <w:tcW w:w="4995" w:type="dxa"/>
                <w:shd w:val="clear" w:color="auto" w:fill="auto"/>
                <w:tcMar>
                  <w:top w:w="100" w:type="dxa"/>
                  <w:left w:w="100" w:type="dxa"/>
                  <w:bottom w:w="100" w:type="dxa"/>
                  <w:right w:w="100" w:type="dxa"/>
                </w:tcMar>
              </w:tcPr>
              <w:p w14:paraId="15C4F374"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提出空間總體規劃及分期分區計畫，內容包含環境材質、燈光、地坪與公共家具等設計概念。</w:t>
                </w:r>
              </w:p>
            </w:tc>
          </w:tr>
          <w:tr w:rsidR="00E9644F" w14:paraId="671B10FF" w14:textId="77777777">
            <w:tc>
              <w:tcPr>
                <w:tcW w:w="795" w:type="dxa"/>
                <w:shd w:val="clear" w:color="auto" w:fill="auto"/>
                <w:tcMar>
                  <w:top w:w="100" w:type="dxa"/>
                  <w:left w:w="100" w:type="dxa"/>
                  <w:bottom w:w="100" w:type="dxa"/>
                  <w:right w:w="100" w:type="dxa"/>
                </w:tcMar>
              </w:tcPr>
              <w:p w14:paraId="3B282951" w14:textId="77777777" w:rsidR="00E9644F" w:rsidRDefault="00000000">
                <w:pPr>
                  <w:ind w:left="0" w:hanging="2"/>
                  <w:jc w:val="center"/>
                  <w:rPr>
                    <w:rFonts w:ascii="Noto Sans TC" w:eastAsia="Noto Sans TC" w:hAnsi="Noto Sans TC" w:cs="Noto Sans TC"/>
                    <w:sz w:val="22"/>
                    <w:szCs w:val="22"/>
                  </w:rPr>
                </w:pPr>
                <w:r>
                  <w:rPr>
                    <w:rFonts w:ascii="Noto Sans TC" w:eastAsia="Noto Sans TC" w:hAnsi="Noto Sans TC" w:cs="Noto Sans TC"/>
                    <w:sz w:val="22"/>
                    <w:szCs w:val="22"/>
                  </w:rPr>
                  <w:t>4</w:t>
                </w:r>
              </w:p>
            </w:tc>
            <w:tc>
              <w:tcPr>
                <w:tcW w:w="2595" w:type="dxa"/>
                <w:shd w:val="clear" w:color="auto" w:fill="auto"/>
                <w:tcMar>
                  <w:top w:w="100" w:type="dxa"/>
                  <w:left w:w="100" w:type="dxa"/>
                  <w:bottom w:w="100" w:type="dxa"/>
                  <w:right w:w="100" w:type="dxa"/>
                </w:tcMar>
              </w:tcPr>
              <w:p w14:paraId="0EC5E065"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模擬示意圖</w:t>
                </w:r>
              </w:p>
            </w:tc>
            <w:tc>
              <w:tcPr>
                <w:tcW w:w="4995" w:type="dxa"/>
                <w:shd w:val="clear" w:color="auto" w:fill="auto"/>
                <w:tcMar>
                  <w:top w:w="100" w:type="dxa"/>
                  <w:left w:w="100" w:type="dxa"/>
                  <w:bottom w:w="100" w:type="dxa"/>
                  <w:right w:w="100" w:type="dxa"/>
                </w:tcMar>
              </w:tcPr>
              <w:p w14:paraId="583E3F9B"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提出公共服務區、主體展覽區提出空間渲染圖。</w:t>
                </w:r>
              </w:p>
            </w:tc>
          </w:tr>
          <w:tr w:rsidR="00E9644F" w14:paraId="1D4A9D1A" w14:textId="77777777">
            <w:trPr>
              <w:trHeight w:val="656"/>
            </w:trPr>
            <w:tc>
              <w:tcPr>
                <w:tcW w:w="795" w:type="dxa"/>
                <w:shd w:val="clear" w:color="auto" w:fill="auto"/>
                <w:tcMar>
                  <w:top w:w="100" w:type="dxa"/>
                  <w:left w:w="100" w:type="dxa"/>
                  <w:bottom w:w="100" w:type="dxa"/>
                  <w:right w:w="100" w:type="dxa"/>
                </w:tcMar>
              </w:tcPr>
              <w:p w14:paraId="1467F1DD" w14:textId="77777777" w:rsidR="00E9644F" w:rsidRDefault="00000000">
                <w:pPr>
                  <w:ind w:left="0" w:hanging="2"/>
                  <w:jc w:val="center"/>
                  <w:rPr>
                    <w:rFonts w:ascii="Noto Sans TC" w:eastAsia="Noto Sans TC" w:hAnsi="Noto Sans TC" w:cs="Noto Sans TC"/>
                    <w:sz w:val="22"/>
                    <w:szCs w:val="22"/>
                  </w:rPr>
                </w:pPr>
                <w:r>
                  <w:rPr>
                    <w:rFonts w:ascii="Noto Sans TC" w:eastAsia="Noto Sans TC" w:hAnsi="Noto Sans TC" w:cs="Noto Sans TC"/>
                    <w:sz w:val="22"/>
                    <w:szCs w:val="22"/>
                  </w:rPr>
                  <w:lastRenderedPageBreak/>
                  <w:t>5</w:t>
                </w:r>
              </w:p>
            </w:tc>
            <w:tc>
              <w:tcPr>
                <w:tcW w:w="2595" w:type="dxa"/>
                <w:shd w:val="clear" w:color="auto" w:fill="auto"/>
                <w:tcMar>
                  <w:top w:w="100" w:type="dxa"/>
                  <w:left w:w="100" w:type="dxa"/>
                  <w:bottom w:w="100" w:type="dxa"/>
                  <w:right w:w="100" w:type="dxa"/>
                </w:tcMar>
              </w:tcPr>
              <w:p w14:paraId="72B65BFC"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細部設計</w:t>
                </w:r>
              </w:p>
            </w:tc>
            <w:tc>
              <w:tcPr>
                <w:tcW w:w="4995" w:type="dxa"/>
                <w:shd w:val="clear" w:color="auto" w:fill="auto"/>
                <w:tcMar>
                  <w:top w:w="100" w:type="dxa"/>
                  <w:left w:w="100" w:type="dxa"/>
                  <w:bottom w:w="100" w:type="dxa"/>
                  <w:right w:w="100" w:type="dxa"/>
                </w:tcMar>
              </w:tcPr>
              <w:p w14:paraId="58F3D54C"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針對一樓大廳空間及地下一樓展示空間提出可供機關發包之細部設計書圖。</w:t>
                </w:r>
              </w:p>
            </w:tc>
          </w:tr>
        </w:tbl>
      </w:sdtContent>
    </w:sdt>
    <w:p w14:paraId="5279B5C7"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*注意事項：</w:t>
      </w:r>
    </w:p>
    <w:p w14:paraId="223F6A23"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1.工程發包及施工期間須與工程單位溝通與現場施工監造工作。</w:t>
      </w:r>
    </w:p>
    <w:p w14:paraId="75D78832" w14:textId="77777777" w:rsidR="00E9644F" w:rsidRDefault="00000000">
      <w:pP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2.本案預計產出成果：氣象署署本部一樓大廳及地下展示空間之規劃成果報告、細部設計圖說及預算表，以利工程單位執行。</w:t>
      </w:r>
    </w:p>
    <w:p w14:paraId="6890CAF1" w14:textId="77777777" w:rsidR="00E9644F" w:rsidRDefault="00000000">
      <w:pPr>
        <w:keepNext/>
        <w:keepLines/>
        <w:pBdr>
          <w:top w:val="nil"/>
          <w:left w:val="nil"/>
          <w:bottom w:val="nil"/>
          <w:right w:val="nil"/>
          <w:between w:val="nil"/>
        </w:pBdr>
        <w:spacing w:before="400" w:after="120" w:line="276" w:lineRule="auto"/>
        <w:ind w:left="0" w:hanging="2"/>
        <w:rPr>
          <w:rFonts w:ascii="Noto Sans TC" w:eastAsia="Noto Sans TC" w:hAnsi="Noto Sans TC" w:cs="Noto Sans TC"/>
          <w:b/>
          <w:sz w:val="22"/>
          <w:szCs w:val="22"/>
        </w:rPr>
      </w:pPr>
      <w:r>
        <w:rPr>
          <w:rFonts w:ascii="Noto Sans TC" w:eastAsia="Noto Sans TC" w:hAnsi="Noto Sans TC" w:cs="Noto Sans TC"/>
          <w:b/>
          <w:color w:val="000000"/>
          <w:sz w:val="22"/>
          <w:szCs w:val="22"/>
        </w:rPr>
        <w:t>五、</w:t>
      </w:r>
      <w:r>
        <w:rPr>
          <w:rFonts w:ascii="Noto Sans TC" w:eastAsia="Noto Sans TC" w:hAnsi="Noto Sans TC" w:cs="Noto Sans TC"/>
          <w:b/>
          <w:sz w:val="22"/>
          <w:szCs w:val="22"/>
        </w:rPr>
        <w:t>比稿項目</w:t>
      </w:r>
    </w:p>
    <w:p w14:paraId="15C6653B" w14:textId="77777777" w:rsidR="00E9644F" w:rsidRDefault="00000000">
      <w:pPr>
        <w:pBdr>
          <w:top w:val="nil"/>
          <w:left w:val="nil"/>
          <w:bottom w:val="nil"/>
          <w:right w:val="nil"/>
          <w:between w:val="nil"/>
        </w:pBd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投標廠商之比稿項目建議包含但不限於下列各項：</w:t>
      </w:r>
    </w:p>
    <w:p w14:paraId="77264E90" w14:textId="77777777" w:rsidR="00E9644F" w:rsidRDefault="00000000">
      <w:pPr>
        <w:pBdr>
          <w:top w:val="nil"/>
          <w:left w:val="nil"/>
          <w:bottom w:val="nil"/>
          <w:right w:val="nil"/>
          <w:between w:val="nil"/>
        </w:pBd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（一） 總體空間策略規劃</w:t>
      </w:r>
    </w:p>
    <w:p w14:paraId="13A0EB1E" w14:textId="77777777" w:rsidR="00E9644F" w:rsidRDefault="00000000">
      <w:pPr>
        <w:pBdr>
          <w:top w:val="nil"/>
          <w:left w:val="nil"/>
          <w:bottom w:val="nil"/>
          <w:right w:val="nil"/>
          <w:between w:val="nil"/>
        </w:pBd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（二） 初步設計概念及構想規劃</w:t>
      </w:r>
    </w:p>
    <w:p w14:paraId="1F689AAB" w14:textId="77777777" w:rsidR="00E9644F" w:rsidRDefault="00000000">
      <w:pPr>
        <w:pBdr>
          <w:top w:val="nil"/>
          <w:left w:val="nil"/>
          <w:bottom w:val="nil"/>
          <w:right w:val="nil"/>
          <w:between w:val="nil"/>
        </w:pBd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（三） 時程進度規劃</w:t>
      </w:r>
    </w:p>
    <w:p w14:paraId="0B025184" w14:textId="77777777" w:rsidR="00E9644F" w:rsidRDefault="00000000">
      <w:pPr>
        <w:pBdr>
          <w:top w:val="nil"/>
          <w:left w:val="nil"/>
          <w:bottom w:val="nil"/>
          <w:right w:val="nil"/>
          <w:between w:val="nil"/>
        </w:pBdr>
        <w:spacing w:line="276" w:lineRule="auto"/>
        <w:ind w:left="0" w:hanging="2"/>
        <w:rPr>
          <w:rFonts w:ascii="Noto Sans TC" w:eastAsia="Noto Sans TC" w:hAnsi="Noto Sans TC" w:cs="Noto Sans TC"/>
          <w:sz w:val="22"/>
          <w:szCs w:val="22"/>
        </w:rPr>
      </w:pPr>
      <w:r>
        <w:rPr>
          <w:rFonts w:ascii="Noto Sans TC" w:eastAsia="Noto Sans TC" w:hAnsi="Noto Sans TC" w:cs="Noto Sans TC"/>
          <w:sz w:val="22"/>
          <w:szCs w:val="22"/>
        </w:rPr>
        <w:t>（四） 經費分配規劃</w:t>
      </w:r>
    </w:p>
    <w:p w14:paraId="72FDDBB0" w14:textId="77777777" w:rsidR="00E9644F" w:rsidRDefault="00000000">
      <w:pPr>
        <w:keepNext/>
        <w:keepLines/>
        <w:spacing w:before="400" w:after="120" w:line="276" w:lineRule="auto"/>
        <w:ind w:left="0" w:hanging="2"/>
        <w:rPr>
          <w:rFonts w:ascii="Noto Sans TC" w:eastAsia="Noto Sans TC" w:hAnsi="Noto Sans TC" w:cs="Noto Sans TC"/>
          <w:sz w:val="22"/>
          <w:szCs w:val="22"/>
        </w:rPr>
      </w:pPr>
      <w:bookmarkStart w:id="6" w:name="_heading=h.4a7yb4jf5h48" w:colFirst="0" w:colLast="0"/>
      <w:bookmarkEnd w:id="6"/>
      <w:r>
        <w:rPr>
          <w:rFonts w:ascii="Noto Sans TC" w:eastAsia="Noto Sans TC" w:hAnsi="Noto Sans TC" w:cs="Noto Sans TC"/>
          <w:b/>
          <w:sz w:val="22"/>
          <w:szCs w:val="22"/>
        </w:rPr>
        <w:t>六、平面圖</w:t>
      </w:r>
    </w:p>
    <w:p w14:paraId="0FE1EB9F" w14:textId="77777777" w:rsidR="00E9644F" w:rsidRDefault="00000000">
      <w:pPr>
        <w:pBdr>
          <w:top w:val="nil"/>
          <w:left w:val="nil"/>
          <w:bottom w:val="nil"/>
          <w:right w:val="nil"/>
          <w:between w:val="nil"/>
        </w:pBdr>
        <w:spacing w:line="276" w:lineRule="auto"/>
        <w:ind w:left="0" w:hanging="2"/>
      </w:pPr>
      <w:r>
        <w:rPr>
          <w:rFonts w:ascii="Noto Sans TC" w:eastAsia="Noto Sans TC" w:hAnsi="Noto Sans TC" w:cs="Noto Sans TC"/>
          <w:sz w:val="22"/>
          <w:szCs w:val="22"/>
        </w:rPr>
        <w:t xml:space="preserve">  1.1樓大廳空間配置及服務機能(如圖:綠色標示範圍)</w:t>
      </w:r>
    </w:p>
    <w:p w14:paraId="6918EFD3" w14:textId="77777777" w:rsidR="00E9644F" w:rsidRDefault="00E9644F">
      <w:pPr>
        <w:pBdr>
          <w:top w:val="nil"/>
          <w:left w:val="nil"/>
          <w:bottom w:val="nil"/>
          <w:right w:val="nil"/>
          <w:between w:val="nil"/>
        </w:pBdr>
        <w:spacing w:line="276" w:lineRule="auto"/>
        <w:ind w:left="0" w:hanging="2"/>
        <w:rPr>
          <w:rFonts w:ascii="Noto Sans TC" w:eastAsia="Noto Sans TC" w:hAnsi="Noto Sans TC" w:cs="Noto Sans TC"/>
          <w:sz w:val="22"/>
          <w:szCs w:val="22"/>
        </w:rPr>
      </w:pPr>
    </w:p>
    <w:p w14:paraId="7CB57346" w14:textId="77777777" w:rsidR="00E9644F" w:rsidRDefault="00E9644F">
      <w:pPr>
        <w:pBdr>
          <w:top w:val="nil"/>
          <w:left w:val="nil"/>
          <w:bottom w:val="nil"/>
          <w:right w:val="nil"/>
          <w:between w:val="nil"/>
        </w:pBdr>
        <w:spacing w:line="276" w:lineRule="auto"/>
        <w:ind w:left="0" w:hanging="2"/>
        <w:rPr>
          <w:rFonts w:ascii="Noto Sans TC" w:eastAsia="Noto Sans TC" w:hAnsi="Noto Sans TC" w:cs="Noto Sans TC"/>
          <w:sz w:val="22"/>
          <w:szCs w:val="22"/>
        </w:rPr>
      </w:pPr>
    </w:p>
    <w:p w14:paraId="58144DC6" w14:textId="77777777" w:rsidR="00E9644F" w:rsidRDefault="00000000">
      <w:pPr>
        <w:spacing w:line="276" w:lineRule="auto"/>
        <w:ind w:left="0" w:hanging="2"/>
        <w:rPr>
          <w:rFonts w:ascii="Noto Sans TC" w:hAnsi="Noto Sans TC" w:cs="Noto Sans TC"/>
          <w:sz w:val="22"/>
          <w:szCs w:val="22"/>
        </w:rPr>
      </w:pPr>
      <w:r>
        <w:rPr>
          <w:rFonts w:ascii="Noto Sans TC" w:eastAsia="Noto Sans TC" w:hAnsi="Noto Sans TC" w:cs="Noto Sans TC"/>
          <w:noProof/>
          <w:sz w:val="22"/>
          <w:szCs w:val="22"/>
        </w:rPr>
        <w:drawing>
          <wp:inline distT="114300" distB="114300" distL="114300" distR="114300" wp14:anchorId="0E5BC565" wp14:editId="71B0782C">
            <wp:extent cx="5543495" cy="4243293"/>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5543495" cy="4243293"/>
                    </a:xfrm>
                    <a:prstGeom prst="rect">
                      <a:avLst/>
                    </a:prstGeom>
                    <a:ln/>
                  </pic:spPr>
                </pic:pic>
              </a:graphicData>
            </a:graphic>
          </wp:inline>
        </w:drawing>
      </w:r>
    </w:p>
    <w:p w14:paraId="00AD0341" w14:textId="77777777" w:rsidR="00587EC9" w:rsidRDefault="00587EC9">
      <w:pPr>
        <w:spacing w:line="276" w:lineRule="auto"/>
        <w:ind w:left="0" w:hanging="2"/>
        <w:rPr>
          <w:rFonts w:ascii="Noto Sans TC" w:hAnsi="Noto Sans TC" w:cs="Noto Sans TC"/>
          <w:sz w:val="22"/>
          <w:szCs w:val="22"/>
        </w:rPr>
      </w:pPr>
    </w:p>
    <w:p w14:paraId="4972D05A" w14:textId="77777777" w:rsidR="00587EC9" w:rsidRDefault="00587EC9">
      <w:pPr>
        <w:spacing w:line="276" w:lineRule="auto"/>
        <w:ind w:left="0" w:hanging="2"/>
        <w:rPr>
          <w:rFonts w:ascii="Noto Sans TC" w:hAnsi="Noto Sans TC" w:cs="Noto Sans TC"/>
          <w:sz w:val="22"/>
          <w:szCs w:val="22"/>
        </w:rPr>
      </w:pPr>
    </w:p>
    <w:p w14:paraId="7CE523A0" w14:textId="77777777" w:rsidR="00587EC9" w:rsidRPr="00587EC9" w:rsidRDefault="00587EC9">
      <w:pPr>
        <w:spacing w:line="276" w:lineRule="auto"/>
        <w:ind w:left="0" w:hanging="2"/>
        <w:rPr>
          <w:rFonts w:ascii="Noto Sans TC" w:hAnsi="Noto Sans TC" w:cs="Noto Sans TC" w:hint="eastAsia"/>
          <w:sz w:val="22"/>
          <w:szCs w:val="22"/>
        </w:rPr>
      </w:pPr>
    </w:p>
    <w:p w14:paraId="1DF87CD3" w14:textId="77777777" w:rsidR="00E9644F" w:rsidRDefault="00000000">
      <w:pPr>
        <w:pBdr>
          <w:top w:val="nil"/>
          <w:left w:val="nil"/>
          <w:bottom w:val="nil"/>
          <w:right w:val="nil"/>
          <w:between w:val="nil"/>
        </w:pBdr>
        <w:spacing w:line="276" w:lineRule="auto"/>
        <w:ind w:left="0" w:hanging="2"/>
        <w:rPr>
          <w:rFonts w:ascii="Noto Sans TC" w:hAnsi="Noto Sans TC" w:cs="Noto Sans TC"/>
          <w:sz w:val="22"/>
          <w:szCs w:val="22"/>
        </w:rPr>
      </w:pPr>
      <w:r>
        <w:rPr>
          <w:rFonts w:ascii="Noto Sans TC" w:eastAsia="Noto Sans TC" w:hAnsi="Noto Sans TC" w:cs="Noto Sans TC"/>
          <w:sz w:val="22"/>
          <w:szCs w:val="22"/>
        </w:rPr>
        <w:lastRenderedPageBreak/>
        <w:t>2. 地下1樓展示空間 (如圖:綠色標示範圍)</w:t>
      </w:r>
    </w:p>
    <w:p w14:paraId="4A08106C" w14:textId="77777777" w:rsidR="00587EC9" w:rsidRDefault="00587EC9">
      <w:pPr>
        <w:pBdr>
          <w:top w:val="nil"/>
          <w:left w:val="nil"/>
          <w:bottom w:val="nil"/>
          <w:right w:val="nil"/>
          <w:between w:val="nil"/>
        </w:pBdr>
        <w:spacing w:line="276" w:lineRule="auto"/>
        <w:ind w:left="0" w:hanging="2"/>
        <w:rPr>
          <w:rFonts w:ascii="Noto Sans TC" w:hAnsi="Noto Sans TC" w:cs="Noto Sans TC"/>
          <w:sz w:val="22"/>
          <w:szCs w:val="22"/>
        </w:rPr>
      </w:pPr>
    </w:p>
    <w:p w14:paraId="2889A320" w14:textId="77777777" w:rsidR="00587EC9" w:rsidRPr="00587EC9" w:rsidRDefault="00587EC9">
      <w:pPr>
        <w:pBdr>
          <w:top w:val="nil"/>
          <w:left w:val="nil"/>
          <w:bottom w:val="nil"/>
          <w:right w:val="nil"/>
          <w:between w:val="nil"/>
        </w:pBdr>
        <w:spacing w:line="276" w:lineRule="auto"/>
        <w:ind w:left="0" w:hanging="2"/>
        <w:rPr>
          <w:rFonts w:ascii="Noto Sans TC" w:hAnsi="Noto Sans TC" w:cs="Noto Sans TC" w:hint="eastAsia"/>
          <w:sz w:val="22"/>
          <w:szCs w:val="22"/>
        </w:rPr>
      </w:pPr>
    </w:p>
    <w:p w14:paraId="60D96099" w14:textId="77777777" w:rsidR="00E9644F" w:rsidRDefault="00000000">
      <w:pPr>
        <w:pBdr>
          <w:top w:val="nil"/>
          <w:left w:val="nil"/>
          <w:bottom w:val="nil"/>
          <w:right w:val="nil"/>
          <w:between w:val="nil"/>
        </w:pBdr>
        <w:spacing w:line="276" w:lineRule="auto"/>
        <w:ind w:left="0" w:hanging="2"/>
        <w:rPr>
          <w:rFonts w:ascii="Noto Sans TC" w:eastAsia="Noto Sans TC" w:hAnsi="Noto Sans TC" w:cs="Noto Sans TC"/>
          <w:sz w:val="22"/>
          <w:szCs w:val="22"/>
        </w:rPr>
      </w:pPr>
      <w:r>
        <w:rPr>
          <w:rFonts w:ascii="Noto Sans TC" w:eastAsia="Noto Sans TC" w:hAnsi="Noto Sans TC" w:cs="Noto Sans TC"/>
          <w:noProof/>
          <w:sz w:val="22"/>
          <w:szCs w:val="22"/>
        </w:rPr>
        <w:drawing>
          <wp:inline distT="114300" distB="114300" distL="114300" distR="114300" wp14:anchorId="19FF30F0" wp14:editId="6E0531E3">
            <wp:extent cx="5423218" cy="3707509"/>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5423218" cy="3707509"/>
                    </a:xfrm>
                    <a:prstGeom prst="rect">
                      <a:avLst/>
                    </a:prstGeom>
                    <a:ln/>
                  </pic:spPr>
                </pic:pic>
              </a:graphicData>
            </a:graphic>
          </wp:inline>
        </w:drawing>
      </w:r>
    </w:p>
    <w:sectPr w:rsidR="00E9644F">
      <w:headerReference w:type="even" r:id="rId10"/>
      <w:headerReference w:type="default" r:id="rId11"/>
      <w:footerReference w:type="even" r:id="rId12"/>
      <w:footerReference w:type="default" r:id="rId13"/>
      <w:headerReference w:type="first" r:id="rId14"/>
      <w:footerReference w:type="first" r:id="rId15"/>
      <w:pgSz w:w="11907" w:h="16840"/>
      <w:pgMar w:top="1304" w:right="1247" w:bottom="1304" w:left="1247" w:header="851"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D86BD8" w14:textId="77777777" w:rsidR="00FA7BBE" w:rsidRDefault="00FA7BBE">
      <w:pPr>
        <w:spacing w:line="240" w:lineRule="auto"/>
        <w:ind w:left="0" w:hanging="2"/>
      </w:pPr>
      <w:r>
        <w:separator/>
      </w:r>
    </w:p>
  </w:endnote>
  <w:endnote w:type="continuationSeparator" w:id="0">
    <w:p w14:paraId="13459472" w14:textId="77777777" w:rsidR="00FA7BBE" w:rsidRDefault="00FA7BBE">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全真楷書">
    <w:altName w:val="Calibri"/>
    <w:charset w:val="00"/>
    <w:family w:val="auto"/>
    <w:pitch w:val="default"/>
  </w:font>
  <w:font w:name="細明體">
    <w:altName w:val="MingLiU"/>
    <w:panose1 w:val="02020509000000000000"/>
    <w:charset w:val="88"/>
    <w:family w:val="modern"/>
    <w:pitch w:val="fixed"/>
    <w:sig w:usb0="A00002FF" w:usb1="28CFFCFA" w:usb2="00000016" w:usb3="00000000" w:csb0="00100001" w:csb1="00000000"/>
  </w:font>
  <w:font w:name="Courier New">
    <w:panose1 w:val="02070309020205020404"/>
    <w:charset w:val="00"/>
    <w:family w:val="modern"/>
    <w:pitch w:val="fixed"/>
    <w:sig w:usb0="E0002EFF" w:usb1="C0007843" w:usb2="00000009" w:usb3="00000000" w:csb0="000001FF" w:csb1="00000000"/>
  </w:font>
  <w:font w:name="華康細明體">
    <w:charset w:val="88"/>
    <w:family w:val="roman"/>
    <w:pitch w:val="default"/>
  </w:font>
  <w:font w:name="標楷體">
    <w:panose1 w:val="03000509000000000000"/>
    <w:charset w:val="88"/>
    <w:family w:val="script"/>
    <w:pitch w:val="fixed"/>
    <w:sig w:usb0="00000003" w:usb1="080E0000" w:usb2="00000016" w:usb3="00000000" w:csb0="00100001" w:csb1="00000000"/>
  </w:font>
  <w:font w:name="華康楷書體W5">
    <w:charset w:val="88"/>
    <w:family w:val="roman"/>
    <w:pitch w:val="default"/>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BB52D314-225D-427A-8DE0-8089F956A46B}"/>
    <w:embedItalic r:id="rId2" w:fontKey="{203DDE73-A4C1-4FB5-8E54-68E8367E8DA1}"/>
  </w:font>
  <w:font w:name="微軟正黑體">
    <w:panose1 w:val="020B0604030504040204"/>
    <w:charset w:val="88"/>
    <w:family w:val="swiss"/>
    <w:pitch w:val="variable"/>
    <w:sig w:usb0="000002A7" w:usb1="28CF4400" w:usb2="00000016" w:usb3="00000000" w:csb0="00100009" w:csb1="00000000"/>
    <w:embedRegular r:id="rId3" w:subsetted="1" w:fontKey="{E6AE5D38-FABA-440D-943C-8B48688177DD}"/>
    <w:embedBold r:id="rId4" w:subsetted="1" w:fontKey="{61240AEF-BF18-4464-8A0C-ECF71815CAA6}"/>
  </w:font>
  <w:font w:name="Noto Sans TC">
    <w:altName w:val="Calibri"/>
    <w:charset w:val="00"/>
    <w:family w:val="auto"/>
    <w:pitch w:val="default"/>
  </w:font>
  <w:font w:name="Calibri">
    <w:panose1 w:val="020F0502020204030204"/>
    <w:charset w:val="00"/>
    <w:family w:val="swiss"/>
    <w:pitch w:val="variable"/>
    <w:sig w:usb0="E4002EFF" w:usb1="C000247B" w:usb2="00000009" w:usb3="00000000" w:csb0="000001FF" w:csb1="00000000"/>
    <w:embedRegular r:id="rId5" w:fontKey="{1A61F0B5-6CFE-4578-8D34-5FA8C0894037}"/>
  </w:font>
  <w:font w:name="Cambria">
    <w:panose1 w:val="02040503050406030204"/>
    <w:charset w:val="00"/>
    <w:family w:val="roman"/>
    <w:pitch w:val="variable"/>
    <w:sig w:usb0="E00006FF" w:usb1="420024FF" w:usb2="02000000" w:usb3="00000000" w:csb0="0000019F" w:csb1="00000000"/>
    <w:embedRegular r:id="rId6" w:fontKey="{0B1C019D-572F-482B-99F1-E579E686A2B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7A2D69" w14:textId="77777777" w:rsidR="00E9644F" w:rsidRDefault="00000000">
    <w:pPr>
      <w:pBdr>
        <w:top w:val="nil"/>
        <w:left w:val="nil"/>
        <w:bottom w:val="nil"/>
        <w:right w:val="nil"/>
        <w:between w:val="nil"/>
      </w:pBdr>
      <w:tabs>
        <w:tab w:val="center" w:pos="4153"/>
        <w:tab w:val="right" w:pos="8306"/>
      </w:tabs>
      <w:spacing w:line="240" w:lineRule="auto"/>
      <w:ind w:left="0" w:hanging="2"/>
      <w:jc w:val="center"/>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separate"/>
    </w:r>
    <w:r>
      <w:rPr>
        <w:color w:val="000000"/>
        <w:sz w:val="20"/>
        <w:szCs w:val="20"/>
      </w:rPr>
      <w:fldChar w:fldCharType="end"/>
    </w:r>
  </w:p>
  <w:p w14:paraId="032D028B" w14:textId="77777777" w:rsidR="00E9644F" w:rsidRDefault="00E9644F">
    <w:pPr>
      <w:pBdr>
        <w:top w:val="nil"/>
        <w:left w:val="nil"/>
        <w:bottom w:val="nil"/>
        <w:right w:val="nil"/>
        <w:between w:val="nil"/>
      </w:pBdr>
      <w:tabs>
        <w:tab w:val="center" w:pos="4153"/>
        <w:tab w:val="right" w:pos="8306"/>
      </w:tabs>
      <w:spacing w:line="240" w:lineRule="auto"/>
      <w:ind w:left="0" w:hanging="2"/>
      <w:rPr>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5A3233" w14:textId="77777777" w:rsidR="005118F9" w:rsidRDefault="005118F9">
    <w:pPr>
      <w:pStyle w:val="a8"/>
      <w:ind w:left="0" w:hanging="2"/>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47859E" w14:textId="77777777" w:rsidR="005118F9" w:rsidRDefault="005118F9">
    <w:pPr>
      <w:pStyle w:val="a8"/>
      <w:ind w:left="0" w:hanging="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8C20FD" w14:textId="77777777" w:rsidR="00FA7BBE" w:rsidRDefault="00FA7BBE">
      <w:pPr>
        <w:spacing w:line="240" w:lineRule="auto"/>
        <w:ind w:left="0" w:hanging="2"/>
      </w:pPr>
      <w:r>
        <w:separator/>
      </w:r>
    </w:p>
  </w:footnote>
  <w:footnote w:type="continuationSeparator" w:id="0">
    <w:p w14:paraId="4282B8D7" w14:textId="77777777" w:rsidR="00FA7BBE" w:rsidRDefault="00FA7BBE">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BB1A90" w14:textId="77777777" w:rsidR="005118F9" w:rsidRDefault="005118F9">
    <w:pPr>
      <w:pStyle w:val="ab"/>
      <w:ind w:left="0" w:hanging="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F70CE3" w14:textId="77777777" w:rsidR="00E9644F" w:rsidRDefault="00000000">
    <w:pPr>
      <w:pBdr>
        <w:top w:val="nil"/>
        <w:left w:val="nil"/>
        <w:bottom w:val="nil"/>
        <w:right w:val="nil"/>
        <w:between w:val="nil"/>
      </w:pBdr>
      <w:tabs>
        <w:tab w:val="center" w:pos="4153"/>
        <w:tab w:val="right" w:pos="8306"/>
      </w:tabs>
      <w:spacing w:line="240" w:lineRule="auto"/>
      <w:ind w:left="1" w:hanging="3"/>
      <w:jc w:val="right"/>
      <w:rPr>
        <w:rFonts w:ascii="微軟正黑體" w:eastAsia="微軟正黑體" w:hAnsi="微軟正黑體" w:cs="微軟正黑體"/>
        <w:color w:val="000000"/>
        <w:sz w:val="28"/>
        <w:szCs w:val="28"/>
      </w:rPr>
    </w:pPr>
    <w:r>
      <w:rPr>
        <w:rFonts w:ascii="微軟正黑體" w:eastAsia="微軟正黑體" w:hAnsi="微軟正黑體" w:cs="微軟正黑體"/>
        <w:color w:val="000000"/>
        <w:sz w:val="28"/>
        <w:szCs w:val="28"/>
      </w:rPr>
      <w:t>附件</w:t>
    </w:r>
    <w:r w:rsidR="005118F9">
      <w:rPr>
        <w:rFonts w:ascii="微軟正黑體" w:eastAsia="微軟正黑體" w:hAnsi="微軟正黑體" w:cs="微軟正黑體"/>
        <w:color w:val="000000"/>
        <w:sz w:val="28"/>
        <w:szCs w:val="28"/>
      </w:rPr>
      <w:t>2</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1BB9E9" w14:textId="77777777" w:rsidR="005118F9" w:rsidRDefault="005118F9">
    <w:pPr>
      <w:pStyle w:val="ab"/>
      <w:ind w:left="0"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91BB5"/>
    <w:multiLevelType w:val="multilevel"/>
    <w:tmpl w:val="570E3F7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pStyle w:val="a"/>
      <w:lvlText w:val="%9."/>
      <w:lvlJc w:val="left"/>
      <w:pPr>
        <w:tabs>
          <w:tab w:val="num" w:pos="6480"/>
        </w:tabs>
        <w:ind w:left="6480" w:hanging="720"/>
      </w:pPr>
    </w:lvl>
  </w:abstractNum>
  <w:abstractNum w:abstractNumId="1" w15:restartNumberingAfterBreak="0">
    <w:nsid w:val="540E67DB"/>
    <w:multiLevelType w:val="multilevel"/>
    <w:tmpl w:val="2D98AD7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875920032">
    <w:abstractNumId w:val="1"/>
  </w:num>
  <w:num w:numId="2" w16cid:durableId="5015547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9644F"/>
    <w:rsid w:val="005118F9"/>
    <w:rsid w:val="00587EC9"/>
    <w:rsid w:val="006B757B"/>
    <w:rsid w:val="00AF674A"/>
    <w:rsid w:val="00DC39B2"/>
    <w:rsid w:val="00E9644F"/>
    <w:rsid w:val="00FA7BB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C04F1E"/>
  <w15:docId w15:val="{CBA6BA34-E4BE-524E-B4D1-AF3D4810CC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sz w:val="24"/>
        <w:szCs w:val="24"/>
        <w:lang w:val="en-US" w:eastAsia="zh-TW" w:bidi="ar-SA"/>
      </w:rPr>
    </w:rPrDefault>
    <w:pPrDefault>
      <w:pPr>
        <w:widowControl w:val="0"/>
        <w:ind w:hanging="1"/>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pPr>
      <w:suppressAutoHyphens/>
      <w:adjustRightInd w:val="0"/>
      <w:spacing w:line="1" w:lineRule="atLeast"/>
      <w:ind w:leftChars="-1" w:left="-1" w:hangingChars="1"/>
      <w:textDirection w:val="btLr"/>
      <w:textAlignment w:val="baseline"/>
      <w:outlineLvl w:val="0"/>
    </w:pPr>
    <w:rPr>
      <w:kern w:val="2"/>
      <w:position w:val="-1"/>
    </w:rPr>
  </w:style>
  <w:style w:type="paragraph" w:styleId="1">
    <w:name w:val="heading 1"/>
    <w:basedOn w:val="a0"/>
    <w:next w:val="a0"/>
    <w:uiPriority w:val="9"/>
    <w:qFormat/>
    <w:pPr>
      <w:keepNext/>
      <w:keepLines/>
      <w:spacing w:before="480" w:after="120"/>
    </w:pPr>
    <w:rPr>
      <w:b/>
      <w:sz w:val="48"/>
      <w:szCs w:val="48"/>
    </w:rPr>
  </w:style>
  <w:style w:type="paragraph" w:styleId="2">
    <w:name w:val="heading 2"/>
    <w:basedOn w:val="a0"/>
    <w:next w:val="a0"/>
    <w:uiPriority w:val="9"/>
    <w:semiHidden/>
    <w:unhideWhenUsed/>
    <w:qFormat/>
    <w:pPr>
      <w:keepNext/>
      <w:keepLines/>
      <w:spacing w:before="360" w:after="80"/>
      <w:outlineLvl w:val="1"/>
    </w:pPr>
    <w:rPr>
      <w:b/>
      <w:sz w:val="36"/>
      <w:szCs w:val="36"/>
    </w:rPr>
  </w:style>
  <w:style w:type="paragraph" w:styleId="3">
    <w:name w:val="heading 3"/>
    <w:basedOn w:val="a0"/>
    <w:next w:val="a0"/>
    <w:uiPriority w:val="9"/>
    <w:semiHidden/>
    <w:unhideWhenUsed/>
    <w:qFormat/>
    <w:pPr>
      <w:keepNext/>
      <w:keepLines/>
      <w:spacing w:before="280" w:after="80"/>
      <w:outlineLvl w:val="2"/>
    </w:pPr>
    <w:rPr>
      <w:b/>
      <w:sz w:val="28"/>
      <w:szCs w:val="28"/>
    </w:rPr>
  </w:style>
  <w:style w:type="paragraph" w:styleId="4">
    <w:name w:val="heading 4"/>
    <w:basedOn w:val="a0"/>
    <w:next w:val="a0"/>
    <w:uiPriority w:val="9"/>
    <w:semiHidden/>
    <w:unhideWhenUsed/>
    <w:qFormat/>
    <w:pPr>
      <w:keepNext/>
      <w:keepLines/>
      <w:spacing w:before="240" w:after="40"/>
      <w:outlineLvl w:val="3"/>
    </w:pPr>
    <w:rPr>
      <w:b/>
    </w:rPr>
  </w:style>
  <w:style w:type="paragraph" w:styleId="5">
    <w:name w:val="heading 5"/>
    <w:basedOn w:val="a0"/>
    <w:next w:val="a0"/>
    <w:uiPriority w:val="9"/>
    <w:semiHidden/>
    <w:unhideWhenUsed/>
    <w:qFormat/>
    <w:pPr>
      <w:keepNext/>
      <w:keepLines/>
      <w:spacing w:before="220" w:after="40"/>
      <w:outlineLvl w:val="4"/>
    </w:pPr>
    <w:rPr>
      <w:b/>
      <w:sz w:val="22"/>
      <w:szCs w:val="22"/>
    </w:rPr>
  </w:style>
  <w:style w:type="paragraph" w:styleId="6">
    <w:name w:val="heading 6"/>
    <w:basedOn w:val="a0"/>
    <w:next w:val="a0"/>
    <w:uiPriority w:val="9"/>
    <w:semiHidden/>
    <w:unhideWhenUsed/>
    <w:qFormat/>
    <w:pPr>
      <w:keepNext/>
      <w:keepLines/>
      <w:spacing w:before="200" w:after="40"/>
      <w:outlineLvl w:val="5"/>
    </w:pPr>
    <w:rPr>
      <w:b/>
      <w:sz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4">
    <w:name w:val="Title"/>
    <w:basedOn w:val="a0"/>
    <w:next w:val="a0"/>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customStyle="1" w:styleId="17">
    <w:name w:val="樣式17"/>
    <w:basedOn w:val="a0"/>
    <w:pPr>
      <w:spacing w:before="120" w:line="360" w:lineRule="atLeast"/>
      <w:ind w:left="1418" w:hanging="1418"/>
      <w:jc w:val="both"/>
    </w:pPr>
    <w:rPr>
      <w:rFonts w:ascii="全真楷書" w:eastAsia="全真楷書"/>
      <w:kern w:val="0"/>
      <w:sz w:val="28"/>
    </w:rPr>
  </w:style>
  <w:style w:type="paragraph" w:customStyle="1" w:styleId="19">
    <w:name w:val="樣式19"/>
    <w:basedOn w:val="a0"/>
    <w:pPr>
      <w:spacing w:line="240" w:lineRule="atLeast"/>
      <w:ind w:left="2552" w:hanging="567"/>
      <w:jc w:val="both"/>
    </w:pPr>
    <w:rPr>
      <w:rFonts w:ascii="全真楷書" w:eastAsia="全真楷書"/>
      <w:kern w:val="0"/>
      <w:sz w:val="28"/>
    </w:rPr>
  </w:style>
  <w:style w:type="paragraph" w:customStyle="1" w:styleId="27">
    <w:name w:val="樣式27"/>
    <w:basedOn w:val="a0"/>
    <w:pPr>
      <w:spacing w:line="360" w:lineRule="atLeast"/>
      <w:ind w:left="1418" w:firstLine="567"/>
      <w:jc w:val="both"/>
    </w:pPr>
    <w:rPr>
      <w:rFonts w:ascii="全真楷書" w:eastAsia="全真楷書"/>
      <w:kern w:val="0"/>
      <w:sz w:val="28"/>
    </w:rPr>
  </w:style>
  <w:style w:type="paragraph" w:styleId="a5">
    <w:name w:val="Plain Text"/>
    <w:basedOn w:val="a0"/>
    <w:rPr>
      <w:rFonts w:ascii="細明體" w:eastAsia="細明體" w:hAnsi="Courier New"/>
    </w:rPr>
  </w:style>
  <w:style w:type="paragraph" w:styleId="20">
    <w:name w:val="Body Text 2"/>
    <w:basedOn w:val="a0"/>
    <w:pPr>
      <w:ind w:left="720"/>
    </w:pPr>
  </w:style>
  <w:style w:type="paragraph" w:styleId="21">
    <w:name w:val="Body Text Indent 2"/>
    <w:basedOn w:val="a0"/>
    <w:pPr>
      <w:ind w:left="1260"/>
    </w:pPr>
  </w:style>
  <w:style w:type="paragraph" w:customStyle="1" w:styleId="0">
    <w:name w:val="樣式0"/>
    <w:basedOn w:val="a0"/>
    <w:pPr>
      <w:spacing w:before="120" w:line="240" w:lineRule="atLeast"/>
      <w:ind w:left="567" w:hanging="567"/>
      <w:jc w:val="both"/>
    </w:pPr>
    <w:rPr>
      <w:kern w:val="0"/>
      <w:sz w:val="28"/>
    </w:rPr>
  </w:style>
  <w:style w:type="paragraph" w:customStyle="1" w:styleId="210">
    <w:name w:val="樣式21"/>
    <w:basedOn w:val="17"/>
    <w:pPr>
      <w:ind w:left="1701" w:hanging="1701"/>
    </w:pPr>
  </w:style>
  <w:style w:type="paragraph" w:customStyle="1" w:styleId="22">
    <w:name w:val="樣式22"/>
    <w:basedOn w:val="19"/>
    <w:pPr>
      <w:ind w:left="2835"/>
    </w:pPr>
  </w:style>
  <w:style w:type="paragraph" w:styleId="30">
    <w:name w:val="Body Text Indent 3"/>
    <w:basedOn w:val="a0"/>
    <w:pPr>
      <w:ind w:left="720" w:hanging="720"/>
    </w:pPr>
  </w:style>
  <w:style w:type="paragraph" w:customStyle="1" w:styleId="a6">
    <w:name w:val="一"/>
    <w:basedOn w:val="a0"/>
    <w:pPr>
      <w:spacing w:before="120" w:after="60" w:line="300" w:lineRule="auto"/>
      <w:ind w:left="567" w:hanging="567"/>
    </w:pPr>
    <w:rPr>
      <w:rFonts w:ascii="華康細明體" w:eastAsia="華康細明體"/>
      <w:spacing w:val="10"/>
      <w:kern w:val="0"/>
      <w:sz w:val="28"/>
    </w:rPr>
  </w:style>
  <w:style w:type="paragraph" w:customStyle="1" w:styleId="10">
    <w:name w:val="1."/>
    <w:basedOn w:val="a0"/>
    <w:pPr>
      <w:spacing w:line="288" w:lineRule="auto"/>
      <w:ind w:left="1020" w:hanging="340"/>
    </w:pPr>
    <w:rPr>
      <w:rFonts w:ascii="華康細明體" w:eastAsia="華康細明體"/>
      <w:spacing w:val="10"/>
      <w:kern w:val="0"/>
      <w:sz w:val="28"/>
    </w:rPr>
  </w:style>
  <w:style w:type="paragraph" w:customStyle="1" w:styleId="71">
    <w:name w:val="樣式71"/>
    <w:basedOn w:val="a0"/>
    <w:pPr>
      <w:spacing w:line="360" w:lineRule="atLeast"/>
      <w:ind w:left="1599" w:hanging="1599"/>
    </w:pPr>
    <w:rPr>
      <w:spacing w:val="14"/>
      <w:kern w:val="0"/>
    </w:rPr>
  </w:style>
  <w:style w:type="paragraph" w:customStyle="1" w:styleId="50">
    <w:name w:val="樣式5"/>
    <w:basedOn w:val="a0"/>
    <w:pPr>
      <w:spacing w:line="360" w:lineRule="atLeast"/>
      <w:ind w:left="794"/>
    </w:pPr>
    <w:rPr>
      <w:spacing w:val="14"/>
      <w:kern w:val="0"/>
    </w:rPr>
  </w:style>
  <w:style w:type="paragraph" w:customStyle="1" w:styleId="23">
    <w:name w:val="樣式2"/>
    <w:basedOn w:val="a0"/>
    <w:pPr>
      <w:spacing w:line="360" w:lineRule="atLeast"/>
      <w:ind w:left="1077" w:hanging="1077"/>
    </w:pPr>
    <w:rPr>
      <w:spacing w:val="14"/>
      <w:kern w:val="0"/>
    </w:rPr>
  </w:style>
  <w:style w:type="paragraph" w:styleId="a7">
    <w:name w:val="Block Text"/>
    <w:basedOn w:val="a0"/>
    <w:pPr>
      <w:spacing w:line="300" w:lineRule="atLeast"/>
      <w:ind w:left="567" w:right="-17" w:hanging="567"/>
      <w:jc w:val="both"/>
    </w:pPr>
    <w:rPr>
      <w:rFonts w:ascii="新細明體"/>
    </w:rPr>
  </w:style>
  <w:style w:type="paragraph" w:customStyle="1" w:styleId="60">
    <w:name w:val="樣式6"/>
    <w:basedOn w:val="23"/>
  </w:style>
  <w:style w:type="paragraph" w:customStyle="1" w:styleId="a">
    <w:name w:val="內縮"/>
    <w:basedOn w:val="a0"/>
    <w:pPr>
      <w:widowControl/>
      <w:numPr>
        <w:ilvl w:val="11"/>
        <w:numId w:val="2"/>
      </w:numPr>
      <w:autoSpaceDE w:val="0"/>
      <w:autoSpaceDN w:val="0"/>
      <w:spacing w:line="560" w:lineRule="atLeast"/>
      <w:ind w:left="600" w:right="-726" w:hanging="600"/>
      <w:jc w:val="both"/>
      <w:textAlignment w:val="center"/>
    </w:pPr>
    <w:rPr>
      <w:rFonts w:ascii="全真楷書" w:eastAsia="全真楷書"/>
      <w:kern w:val="0"/>
      <w:sz w:val="32"/>
    </w:rPr>
  </w:style>
  <w:style w:type="paragraph" w:styleId="a8">
    <w:name w:val="footer"/>
    <w:basedOn w:val="a0"/>
    <w:pPr>
      <w:tabs>
        <w:tab w:val="center" w:pos="4153"/>
        <w:tab w:val="right" w:pos="8306"/>
      </w:tabs>
    </w:pPr>
    <w:rPr>
      <w:sz w:val="20"/>
    </w:rPr>
  </w:style>
  <w:style w:type="character" w:styleId="a9">
    <w:name w:val="page number"/>
    <w:basedOn w:val="a1"/>
    <w:rPr>
      <w:w w:val="100"/>
      <w:position w:val="-1"/>
      <w:effect w:val="none"/>
      <w:vertAlign w:val="baseline"/>
      <w:cs w:val="0"/>
      <w:em w:val="none"/>
    </w:rPr>
  </w:style>
  <w:style w:type="paragraph" w:customStyle="1" w:styleId="7">
    <w:name w:val="樣式7"/>
    <w:basedOn w:val="23"/>
    <w:pPr>
      <w:ind w:left="1361" w:hanging="1361"/>
    </w:pPr>
  </w:style>
  <w:style w:type="paragraph" w:customStyle="1" w:styleId="31">
    <w:name w:val="樣式3"/>
    <w:basedOn w:val="a0"/>
    <w:pPr>
      <w:spacing w:line="360" w:lineRule="atLeast"/>
      <w:ind w:left="2098" w:hanging="510"/>
    </w:pPr>
    <w:rPr>
      <w:rFonts w:ascii="全真楷書" w:eastAsia="全真楷書"/>
      <w:spacing w:val="14"/>
      <w:kern w:val="0"/>
    </w:rPr>
  </w:style>
  <w:style w:type="paragraph" w:customStyle="1" w:styleId="230">
    <w:name w:val="樣式23"/>
    <w:basedOn w:val="22"/>
    <w:pPr>
      <w:ind w:left="3005" w:hanging="737"/>
    </w:pPr>
  </w:style>
  <w:style w:type="paragraph" w:styleId="aa">
    <w:name w:val="Body Text Indent"/>
    <w:basedOn w:val="a0"/>
    <w:pPr>
      <w:spacing w:line="300" w:lineRule="atLeast"/>
      <w:ind w:left="1134" w:hanging="567"/>
      <w:jc w:val="both"/>
    </w:pPr>
    <w:rPr>
      <w:rFonts w:ascii="標楷體" w:eastAsia="標楷體"/>
      <w:color w:val="000000"/>
    </w:rPr>
  </w:style>
  <w:style w:type="paragraph" w:styleId="ab">
    <w:name w:val="header"/>
    <w:basedOn w:val="a0"/>
    <w:pPr>
      <w:tabs>
        <w:tab w:val="center" w:pos="4153"/>
        <w:tab w:val="right" w:pos="8306"/>
      </w:tabs>
    </w:pPr>
    <w:rPr>
      <w:sz w:val="20"/>
    </w:rPr>
  </w:style>
  <w:style w:type="paragraph" w:customStyle="1" w:styleId="111">
    <w:name w:val="1.1.1"/>
    <w:basedOn w:val="a0"/>
    <w:pPr>
      <w:tabs>
        <w:tab w:val="left" w:pos="1560"/>
      </w:tabs>
      <w:adjustRightInd/>
      <w:spacing w:line="320" w:lineRule="atLeast"/>
      <w:ind w:leftChars="550" w:left="1796" w:hangingChars="183" w:hanging="476"/>
      <w:jc w:val="both"/>
      <w:textAlignment w:val="auto"/>
    </w:pPr>
    <w:rPr>
      <w:sz w:val="26"/>
    </w:rPr>
  </w:style>
  <w:style w:type="paragraph" w:styleId="Web">
    <w:name w:val="Normal (Web)"/>
    <w:basedOn w:val="a0"/>
    <w:pPr>
      <w:widowControl/>
      <w:adjustRightInd/>
      <w:spacing w:before="100" w:beforeAutospacing="1" w:after="100" w:afterAutospacing="1"/>
      <w:textAlignment w:val="auto"/>
    </w:pPr>
    <w:rPr>
      <w:rFonts w:ascii="新細明體" w:cs="新細明體"/>
      <w:color w:val="000000"/>
      <w:kern w:val="0"/>
    </w:rPr>
  </w:style>
  <w:style w:type="paragraph" w:styleId="ac">
    <w:name w:val="Salutation"/>
    <w:basedOn w:val="a0"/>
    <w:next w:val="a0"/>
    <w:rPr>
      <w:rFonts w:ascii="標楷體" w:eastAsia="標楷體" w:hAnsi="標楷體"/>
      <w:color w:val="000000"/>
      <w:sz w:val="28"/>
    </w:rPr>
  </w:style>
  <w:style w:type="paragraph" w:styleId="ad">
    <w:name w:val="Closing"/>
    <w:basedOn w:val="a0"/>
    <w:pPr>
      <w:ind w:leftChars="1800" w:left="100"/>
    </w:pPr>
    <w:rPr>
      <w:rFonts w:ascii="標楷體" w:eastAsia="標楷體" w:hAnsi="標楷體"/>
      <w:color w:val="000000"/>
      <w:sz w:val="28"/>
    </w:rPr>
  </w:style>
  <w:style w:type="paragraph" w:customStyle="1" w:styleId="ae">
    <w:name w:val="一、"/>
    <w:basedOn w:val="a0"/>
    <w:pPr>
      <w:adjustRightInd/>
      <w:spacing w:line="500" w:lineRule="atLeast"/>
      <w:ind w:left="567" w:hanging="567"/>
      <w:jc w:val="both"/>
      <w:textAlignment w:val="auto"/>
    </w:pPr>
    <w:rPr>
      <w:rFonts w:ascii="華康楷書體W5" w:eastAsia="華康楷書體W5"/>
      <w:sz w:val="28"/>
    </w:rPr>
  </w:style>
  <w:style w:type="paragraph" w:customStyle="1" w:styleId="af">
    <w:name w:val="(一)"/>
    <w:basedOn w:val="a0"/>
    <w:pPr>
      <w:adjustRightInd/>
      <w:spacing w:line="500" w:lineRule="atLeast"/>
      <w:ind w:left="1134" w:hanging="567"/>
      <w:jc w:val="both"/>
      <w:textAlignment w:val="auto"/>
    </w:pPr>
    <w:rPr>
      <w:rFonts w:ascii="華康楷書體W5" w:eastAsia="華康楷書體W5"/>
      <w:sz w:val="28"/>
    </w:rPr>
  </w:style>
  <w:style w:type="paragraph" w:customStyle="1" w:styleId="40">
    <w:name w:val="樣式4"/>
    <w:basedOn w:val="31"/>
    <w:pPr>
      <w:tabs>
        <w:tab w:val="left" w:pos="2954"/>
        <w:tab w:val="left" w:pos="5856"/>
      </w:tabs>
      <w:overflowPunct w:val="0"/>
      <w:autoSpaceDE w:val="0"/>
      <w:autoSpaceDN w:val="0"/>
      <w:spacing w:line="240" w:lineRule="auto"/>
      <w:ind w:left="1200" w:hanging="600"/>
    </w:pPr>
    <w:rPr>
      <w:rFonts w:ascii="標楷體" w:eastAsia="標楷體"/>
      <w:snapToGrid w:val="0"/>
      <w:color w:val="000000"/>
      <w:spacing w:val="0"/>
    </w:rPr>
  </w:style>
  <w:style w:type="paragraph" w:customStyle="1" w:styleId="24">
    <w:name w:val="2"/>
    <w:basedOn w:val="a0"/>
    <w:pPr>
      <w:spacing w:line="360" w:lineRule="atLeast"/>
      <w:ind w:left="512"/>
    </w:pPr>
    <w:rPr>
      <w:rFonts w:ascii="標楷體" w:eastAsia="標楷體"/>
      <w:kern w:val="0"/>
    </w:rPr>
  </w:style>
  <w:style w:type="character" w:styleId="af0">
    <w:name w:val="Hyperlink"/>
    <w:rPr>
      <w:color w:val="0000FF"/>
      <w:w w:val="100"/>
      <w:position w:val="-1"/>
      <w:u w:val="single"/>
      <w:effect w:val="none"/>
      <w:vertAlign w:val="baseline"/>
      <w:cs w:val="0"/>
      <w:em w:val="none"/>
    </w:rPr>
  </w:style>
  <w:style w:type="paragraph" w:styleId="af1">
    <w:name w:val="Balloon Text"/>
    <w:basedOn w:val="a0"/>
    <w:rPr>
      <w:rFonts w:ascii="Arial" w:hAnsi="Arial"/>
      <w:sz w:val="18"/>
      <w:szCs w:val="18"/>
    </w:rPr>
  </w:style>
  <w:style w:type="table" w:styleId="af2">
    <w:name w:val="Table Grid"/>
    <w:basedOn w:val="a2"/>
    <w:pPr>
      <w:suppressAutoHyphens/>
      <w:adjustRightInd w:val="0"/>
      <w:spacing w:line="1" w:lineRule="atLeast"/>
      <w:ind w:leftChars="-1" w:left="-1" w:hangingChars="1"/>
      <w:textDirection w:val="btLr"/>
      <w:textAlignment w:val="baseline"/>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annotation text"/>
    <w:basedOn w:val="a0"/>
    <w:pPr>
      <w:adjustRightInd/>
      <w:textAlignment w:val="auto"/>
    </w:pPr>
  </w:style>
  <w:style w:type="paragraph" w:styleId="af4">
    <w:name w:val="Subtitle"/>
    <w:basedOn w:val="a0"/>
    <w:next w:val="a0"/>
    <w:uiPriority w:val="11"/>
    <w:qFormat/>
    <w:pPr>
      <w:keepNext/>
      <w:keepLines/>
      <w:pBdr>
        <w:top w:val="nil"/>
        <w:left w:val="nil"/>
        <w:bottom w:val="nil"/>
        <w:right w:val="nil"/>
        <w:between w:val="nil"/>
      </w:pBdr>
      <w:spacing w:before="360" w:after="80" w:line="240" w:lineRule="auto"/>
      <w:ind w:left="0"/>
    </w:pPr>
    <w:rPr>
      <w:rFonts w:ascii="Georgia" w:eastAsia="Georgia" w:hAnsi="Georgia" w:cs="Georgia"/>
      <w:i/>
      <w:color w:val="666666"/>
      <w:sz w:val="48"/>
      <w:szCs w:val="48"/>
    </w:rPr>
  </w:style>
  <w:style w:type="table" w:customStyle="1" w:styleId="af5">
    <w:basedOn w:val="TableNormal1"/>
    <w:tblPr>
      <w:tblStyleRowBandSize w:val="1"/>
      <w:tblStyleColBandSize w:val="1"/>
      <w:tblCellMar>
        <w:top w:w="100" w:type="dxa"/>
        <w:left w:w="100" w:type="dxa"/>
        <w:bottom w:w="100" w:type="dxa"/>
        <w:right w:w="100" w:type="dxa"/>
      </w:tblCellMar>
    </w:tblPr>
  </w:style>
  <w:style w:type="table" w:customStyle="1" w:styleId="af6">
    <w:basedOn w:val="TableNormal1"/>
    <w:tblPr>
      <w:tblStyleRowBandSize w:val="1"/>
      <w:tblStyleColBandSize w:val="1"/>
      <w:tblCellMar>
        <w:top w:w="100" w:type="dxa"/>
        <w:left w:w="100" w:type="dxa"/>
        <w:bottom w:w="100" w:type="dxa"/>
        <w:right w:w="100" w:type="dxa"/>
      </w:tblCellMar>
    </w:tblPr>
  </w:style>
  <w:style w:type="table" w:customStyle="1" w:styleId="af7">
    <w:basedOn w:val="TableNormal1"/>
    <w:tblPr>
      <w:tblStyleRowBandSize w:val="1"/>
      <w:tblStyleColBandSize w:val="1"/>
      <w:tblCellMar>
        <w:top w:w="100" w:type="dxa"/>
        <w:left w:w="100" w:type="dxa"/>
        <w:bottom w:w="100" w:type="dxa"/>
        <w:right w:w="100" w:type="dxa"/>
      </w:tblCellMar>
    </w:tblPr>
  </w:style>
  <w:style w:type="table" w:customStyle="1" w:styleId="af8">
    <w:basedOn w:val="TableNormal1"/>
    <w:tblPr>
      <w:tblStyleRowBandSize w:val="1"/>
      <w:tblStyleColBandSize w:val="1"/>
      <w:tblCellMar>
        <w:top w:w="100" w:type="dxa"/>
        <w:left w:w="100" w:type="dxa"/>
        <w:bottom w:w="100" w:type="dxa"/>
        <w:right w:w="100" w:type="dxa"/>
      </w:tblCellMar>
    </w:tblPr>
  </w:style>
  <w:style w:type="table" w:customStyle="1" w:styleId="af9">
    <w:basedOn w:val="TableNormal1"/>
    <w:tblPr>
      <w:tblStyleRowBandSize w:val="1"/>
      <w:tblStyleColBandSize w:val="1"/>
      <w:tblCellMar>
        <w:top w:w="100" w:type="dxa"/>
        <w:left w:w="100" w:type="dxa"/>
        <w:bottom w:w="100" w:type="dxa"/>
        <w:right w:w="100" w:type="dxa"/>
      </w:tblCellMar>
    </w:tblPr>
  </w:style>
  <w:style w:type="paragraph" w:styleId="afa">
    <w:name w:val="List Paragraph"/>
    <w:basedOn w:val="a0"/>
    <w:uiPriority w:val="34"/>
    <w:qFormat/>
    <w:rsid w:val="00587EC9"/>
    <w:pPr>
      <w:ind w:leftChars="200"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hpau+mLgGX4vhLrXpSX2E9PGkA==">CgMxLjAaHwoBMBIaChgICVIUChJ0YWJsZS5jdW5xMnQ2bDY3bWUyDmgud25zdzl4cHRveWl2Mg5oLnZ1bTBiMnBsYmJycjIOaC50NnNrczk0bzhwbDgyDmguamdlejR4dHlrZGlpMg5oLnVxd2ZjYWoxZDNiczIOaC5kbnM4ZWRzMnF5bzgyDmguNGE3eWI0amY1aDQ4Mg5oLjRhN3liNGpmNWg0ODgAciExay1LdjNhM2tmc2libjJ4anMxVWFFS3pWcmNTYnprQkY=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148</Words>
  <Characters>849</Characters>
  <Application>Microsoft Office Word</Application>
  <DocSecurity>0</DocSecurity>
  <Lines>7</Lines>
  <Paragraphs>1</Paragraphs>
  <ScaleCrop>false</ScaleCrop>
  <Company/>
  <LinksUpToDate>false</LinksUpToDate>
  <CharactersWithSpaces>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idb</dc:creator>
  <cp:lastModifiedBy>許瑞珈Rica Hsu│設研院TDRI</cp:lastModifiedBy>
  <cp:revision>4</cp:revision>
  <dcterms:created xsi:type="dcterms:W3CDTF">2025-03-13T17:34:00Z</dcterms:created>
  <dcterms:modified xsi:type="dcterms:W3CDTF">2025-03-19T02:06:00Z</dcterms:modified>
</cp:coreProperties>
</file>