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B59137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28"/>
          <w:szCs w:val="28"/>
        </w:rPr>
      </w:pPr>
      <w:r w:rsidRPr="00201064">
        <w:rPr>
          <w:rFonts w:ascii="微軟正黑體" w:eastAsia="微軟正黑體" w:hAnsi="微軟正黑體" w:cs="Noto Sans TC"/>
          <w:b/>
          <w:bCs/>
          <w:sz w:val="28"/>
          <w:szCs w:val="28"/>
        </w:rPr>
        <w:t>「115年度商圈及傳統市場設計加值計畫-成果推廣展覽規劃及執行」</w:t>
      </w:r>
    </w:p>
    <w:p w14:paraId="6590AB6B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b/>
          <w:bCs/>
          <w:sz w:val="28"/>
          <w:szCs w:val="28"/>
        </w:rPr>
        <w:t>徵求建議書</w:t>
      </w:r>
    </w:p>
    <w:p w14:paraId="7A0D09CD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一、企劃書規格包含下列：</w:t>
      </w:r>
    </w:p>
    <w:p w14:paraId="613DE6D2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firstLine="7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(一)採用 A4 紙張，橫書雙面列印或簡報資料</w:t>
      </w:r>
    </w:p>
    <w:p w14:paraId="1ECCEEF7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firstLine="7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(二)團隊介紹：含相關專業背景介紹、業務經驗、獲獎紀錄等</w:t>
      </w:r>
    </w:p>
    <w:p w14:paraId="36F84A0E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firstLine="7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(三)報價單</w:t>
      </w:r>
    </w:p>
    <w:p w14:paraId="6E3DCA22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二、交付份數：一式【4份】。</w:t>
      </w:r>
    </w:p>
    <w:p w14:paraId="53806C64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三、背景說明</w:t>
      </w:r>
    </w:p>
    <w:p w14:paraId="00CB23B4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(一) 計畫簡介</w:t>
      </w:r>
    </w:p>
    <w:p w14:paraId="0C256F09" w14:textId="77777777" w:rsidR="00A80568" w:rsidRPr="00201064" w:rsidRDefault="00000000">
      <w:pPr>
        <w:widowControl w:val="0"/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為促進臺灣商圈及傳統市場之經濟成長與永續發展，並彰顯臺灣傳統商業空間的在地特色與文化價值，本計畫透過設計導入，協助提升整體環境形象與優化未來發展方向，以吸引國內外觀光客造訪，進而活絡地方經濟。計畫從「人、場、服務」三大面向切入，實質改善消費場域體驗，並串聯相關利害關係人共同協作，發揮資源整合效益。透過導入環境美學、友善服務、特色文化與自主營運等策略，打造兼具美感與永續發展的人本消費環境，形塑臺灣傳統商業空間價值。</w:t>
      </w:r>
    </w:p>
    <w:p w14:paraId="13215A0E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(二) 展覽目標</w:t>
      </w:r>
    </w:p>
    <w:p w14:paraId="01888965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本計畫結合於桃園舉行之「2026臺灣設計展」，於展區規劃本計畫專屬展區，作為對外曝光與公共溝通的重要平臺。透過結合設計展所強調的城市治理與地方特色之精神，有效推進計畫於社會影響力，並放大計畫改造所帶來的成果與價值。透過展覽轉譯，將抽象的改造成效轉化為可被感知、體驗的公共議題，使展覽不僅作為成果呈現的平臺，更作為成果擴散與公共溝通的重要節點，促進社會對話與城市想象的展開。</w:t>
      </w:r>
    </w:p>
    <w:p w14:paraId="6E0B894B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(三)展覽概述</w:t>
      </w:r>
    </w:p>
    <w:p w14:paraId="4B9F0123" w14:textId="77777777" w:rsidR="00A80568" w:rsidRPr="00201064" w:rsidRDefault="00000000">
      <w:pPr>
        <w:widowControl w:val="0"/>
        <w:spacing w:line="276" w:lineRule="auto"/>
        <w:ind w:left="1440" w:right="-320" w:hanging="480"/>
        <w:jc w:val="both"/>
        <w:rPr>
          <w:rFonts w:ascii="微軟正黑體" w:eastAsia="微軟正黑體" w:hAnsi="微軟正黑體" w:cs="Noto Sans TC"/>
          <w:b/>
          <w:bCs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1.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辦理單位</w:t>
      </w:r>
    </w:p>
    <w:p w14:paraId="2DFB8524" w14:textId="77777777" w:rsidR="00A80568" w:rsidRPr="00201064" w:rsidRDefault="00000000">
      <w:pPr>
        <w:widowControl w:val="0"/>
        <w:spacing w:line="276" w:lineRule="auto"/>
        <w:ind w:left="860" w:right="-32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 xml:space="preserve">主辦：經濟部商業發展署 </w:t>
      </w:r>
    </w:p>
    <w:p w14:paraId="252F7F5C" w14:textId="77777777" w:rsidR="00A80568" w:rsidRPr="00201064" w:rsidRDefault="00000000">
      <w:pPr>
        <w:widowControl w:val="0"/>
        <w:spacing w:line="276" w:lineRule="auto"/>
        <w:ind w:left="860" w:right="-32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執行：財團法人台灣設計研究院</w:t>
      </w:r>
    </w:p>
    <w:p w14:paraId="2A35B8A0" w14:textId="77777777" w:rsidR="00A80568" w:rsidRPr="00201064" w:rsidRDefault="00000000">
      <w:pPr>
        <w:widowControl w:val="0"/>
        <w:spacing w:line="276" w:lineRule="auto"/>
        <w:ind w:left="1440" w:right="-320" w:hanging="48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2.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展覽時程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：115年09月24日(四)至10月11日(日)，合計18天(含國定假日)。</w:t>
      </w:r>
    </w:p>
    <w:p w14:paraId="69F8A18C" w14:textId="77777777" w:rsidR="00A80568" w:rsidRPr="00201064" w:rsidRDefault="00000000">
      <w:pPr>
        <w:widowControl w:val="0"/>
        <w:spacing w:line="276" w:lineRule="auto"/>
        <w:ind w:left="800" w:right="-32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（週一至週四10:00-18:00，週五至週日10:00-20:00，展期最後一日營運至18:00）</w:t>
      </w:r>
    </w:p>
    <w:p w14:paraId="025A6662" w14:textId="77777777" w:rsidR="00A80568" w:rsidRPr="00201064" w:rsidRDefault="00000000">
      <w:pPr>
        <w:widowControl w:val="0"/>
        <w:spacing w:line="276" w:lineRule="auto"/>
        <w:ind w:right="-320"/>
        <w:jc w:val="both"/>
        <w:rPr>
          <w:rFonts w:ascii="微軟正黑體" w:eastAsia="微軟正黑體" w:hAnsi="微軟正黑體" w:cs="Noto Sans TC"/>
        </w:rPr>
      </w:pP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lastRenderedPageBreak/>
        <w:t xml:space="preserve">                     </w:t>
      </w:r>
      <w:r w:rsidRPr="00201064">
        <w:rPr>
          <w:rFonts w:ascii="微軟正黑體" w:eastAsia="微軟正黑體" w:hAnsi="微軟正黑體" w:cs="Noto Sans TC"/>
          <w:b/>
          <w:bCs/>
        </w:rPr>
        <w:t>進場：</w:t>
      </w:r>
      <w:r w:rsidRPr="00201064">
        <w:rPr>
          <w:rFonts w:ascii="微軟正黑體" w:eastAsia="微軟正黑體" w:hAnsi="微軟正黑體" w:cs="Noto Sans TC"/>
        </w:rPr>
        <w:t>9月17日(四)-9月22日(二)，合計6日。(17-19日8:00-18:00、20-22日 8:00-20:00）</w:t>
      </w:r>
    </w:p>
    <w:p w14:paraId="61166E01" w14:textId="77777777" w:rsidR="00A80568" w:rsidRPr="00201064" w:rsidRDefault="00000000">
      <w:pPr>
        <w:widowControl w:val="0"/>
        <w:spacing w:line="276" w:lineRule="auto"/>
        <w:ind w:right="-320"/>
        <w:jc w:val="both"/>
        <w:rPr>
          <w:rFonts w:ascii="微軟正黑體" w:eastAsia="微軟正黑體" w:hAnsi="微軟正黑體" w:cs="Noto Sans TC"/>
        </w:rPr>
      </w:pPr>
      <w:r w:rsidRPr="00201064">
        <w:rPr>
          <w:rFonts w:ascii="微軟正黑體" w:eastAsia="微軟正黑體" w:hAnsi="微軟正黑體" w:cs="Noto Sans TC"/>
          <w:b/>
          <w:bCs/>
        </w:rPr>
        <w:t xml:space="preserve">                         撤場</w:t>
      </w:r>
      <w:r w:rsidRPr="00201064">
        <w:rPr>
          <w:rFonts w:ascii="微軟正黑體" w:eastAsia="微軟正黑體" w:hAnsi="微軟正黑體" w:cs="Noto Sans TC"/>
        </w:rPr>
        <w:t>：10月11日(日)-12日(一)，共2日。（11日18:00-24:00，12日00:00-24:00）</w:t>
      </w:r>
    </w:p>
    <w:p w14:paraId="3487033E" w14:textId="77777777" w:rsidR="00A80568" w:rsidRPr="00201064" w:rsidRDefault="00000000">
      <w:pPr>
        <w:widowControl w:val="0"/>
        <w:spacing w:line="276" w:lineRule="auto"/>
        <w:ind w:left="1000" w:right="-32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※備註：以上時程將配合主展館安排，若有調整會再同步通知。</w:t>
      </w:r>
    </w:p>
    <w:p w14:paraId="3A943B10" w14:textId="77777777" w:rsidR="00A80568" w:rsidRPr="00201064" w:rsidRDefault="00000000">
      <w:pPr>
        <w:widowControl w:val="0"/>
        <w:spacing w:line="276" w:lineRule="auto"/>
        <w:ind w:left="1440" w:right="-320" w:hanging="48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3.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地點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：青埔展區_桃園會展中心展覽棟GF（桃園市中壢區領航北路一段99號）</w:t>
      </w:r>
    </w:p>
    <w:p w14:paraId="63AAB0F9" w14:textId="77777777" w:rsidR="00A80568" w:rsidRPr="00201064" w:rsidRDefault="00000000">
      <w:pPr>
        <w:widowControl w:val="0"/>
        <w:spacing w:line="276" w:lineRule="auto"/>
        <w:ind w:left="960" w:right="-320"/>
        <w:jc w:val="both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※桃園會展中心場地資訊下載：</w:t>
      </w:r>
      <w:hyperlink r:id="rId6">
        <w:r w:rsidR="00A80568" w:rsidRPr="00201064">
          <w:rPr>
            <w:rFonts w:ascii="微軟正黑體" w:eastAsia="微軟正黑體" w:hAnsi="微軟正黑體" w:cs="Noto Sans TC"/>
            <w:sz w:val="24"/>
            <w:szCs w:val="24"/>
          </w:rPr>
          <w:t>https://reurl.cc/bNbRW6</w:t>
        </w:r>
      </w:hyperlink>
    </w:p>
    <w:p w14:paraId="26542A55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四、預算金額：新臺幣1,300,000元整（含稅）</w:t>
      </w:r>
    </w:p>
    <w:p w14:paraId="05E8CB9C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五、履約期程：決標次日起至115年10月30日止</w:t>
      </w:r>
    </w:p>
    <w:p w14:paraId="4ED7D326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六、規格需求</w:t>
      </w:r>
    </w:p>
    <w:p w14:paraId="48CC2A7A" w14:textId="77777777" w:rsidR="00A80568" w:rsidRPr="0020106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透過展覽看見設計導入商業空間的改變，擴散計畫效益且連結在地魅力。提案內容應包含以下：</w:t>
      </w:r>
    </w:p>
    <w:tbl>
      <w:tblPr>
        <w:tblStyle w:val="a5"/>
        <w:tblW w:w="8595" w:type="dxa"/>
        <w:tblInd w:w="7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90"/>
        <w:gridCol w:w="2445"/>
        <w:gridCol w:w="5460"/>
      </w:tblGrid>
      <w:tr w:rsidR="00A80568" w:rsidRPr="00201064" w14:paraId="040E5730" w14:textId="77777777">
        <w:tc>
          <w:tcPr>
            <w:tcW w:w="6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663B5" w14:textId="77777777" w:rsidR="00A80568" w:rsidRPr="0020106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項次</w:t>
            </w:r>
          </w:p>
        </w:tc>
        <w:tc>
          <w:tcPr>
            <w:tcW w:w="24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C0B58" w14:textId="77777777" w:rsidR="00A80568" w:rsidRPr="0020106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項目</w:t>
            </w: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3BFAB8" w14:textId="77777777" w:rsidR="00A80568" w:rsidRPr="0020106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需求說明</w:t>
            </w:r>
          </w:p>
        </w:tc>
      </w:tr>
      <w:tr w:rsidR="00A80568" w:rsidRPr="00201064" w14:paraId="3800FE3B" w14:textId="77777777"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3386F5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1</w:t>
            </w:r>
          </w:p>
        </w:tc>
        <w:tc>
          <w:tcPr>
            <w:tcW w:w="244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CD3987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展覽主視覺設計</w:t>
            </w:r>
          </w:p>
        </w:tc>
        <w:tc>
          <w:tcPr>
            <w:tcW w:w="546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249F53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主視覺設計與文字運用1式：展現商圈及傳統市場之特色與輔導成果亮點。</w:t>
            </w:r>
          </w:p>
        </w:tc>
      </w:tr>
      <w:tr w:rsidR="00A80568" w:rsidRPr="00201064" w14:paraId="2EF88E64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25F76D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2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91C9D7" w14:textId="40E5A93C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展覽空間規劃</w:t>
            </w:r>
          </w:p>
          <w:p w14:paraId="53F9349D" w14:textId="77777777" w:rsidR="00A80568" w:rsidRPr="00201064" w:rsidRDefault="00000000">
            <w:pPr>
              <w:widowControl w:val="0"/>
              <w:ind w:left="82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 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646060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(1) 展覽內容策劃1式：依據計畫成果進行整體策展規劃與論述發展，整合商圈及傳統市場輔導成果，建構具故事性與觀展體驗之展示內容。</w:t>
            </w:r>
          </w:p>
          <w:p w14:paraId="17D20796" w14:textId="57A02433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(2) 空間規劃1式：依展示空間特性進行展區配置、動線規劃、展示架構及觀展體驗</w:t>
            </w:r>
            <w:r w:rsidR="00946114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策劃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，透過情境營造與展示手法呈現商圈與市場特色。</w:t>
            </w:r>
          </w:p>
          <w:p w14:paraId="6F79CE9F" w14:textId="29C407B8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(3) 展示內容</w:t>
            </w:r>
            <w:r w:rsidR="00946114">
              <w:rPr>
                <w:rFonts w:ascii="微軟正黑體" w:eastAsia="微軟正黑體" w:hAnsi="微軟正黑體" w:cs="Noto Sans TC" w:hint="eastAsia"/>
                <w:sz w:val="24"/>
                <w:szCs w:val="24"/>
              </w:rPr>
              <w:t>策劃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1式：包含展區主題發展、成果轉譯、圖文編排、展示介面及互動機制規劃，使觀展民眾能理解商圈及市場設計導入歷程、改造成果與未來發展願景。</w:t>
            </w:r>
          </w:p>
        </w:tc>
      </w:tr>
      <w:tr w:rsidR="00A80568" w:rsidRPr="00201064" w14:paraId="0D3A6817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7B6A13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3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A102E9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展覽空間設計與施作</w:t>
            </w:r>
          </w:p>
          <w:p w14:paraId="60F9A4B2" w14:textId="77777777" w:rsidR="00A80568" w:rsidRPr="00201064" w:rsidRDefault="00000000">
            <w:pPr>
              <w:widowControl w:val="0"/>
              <w:ind w:left="82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 xml:space="preserve"> 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302AC3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(1) 展覽空間設計1式：依據展覽主題及展區內容進行空間設計，包含平面配置、展示構造、展區說明及整體氛圍營造。</w:t>
            </w:r>
          </w:p>
          <w:p w14:paraId="26E55C79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(2) 展覽空間施作1式：包含展示視覺輸出製作、展示道具及展示架製作安裝、佈置與撤場作業。</w:t>
            </w:r>
          </w:p>
          <w:p w14:paraId="48195B6F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(3) 本案展覽空間位於桃園會展中心展覽棟GF，實際施作範圍約60坪，尺寸及相關條件以現場勘</w:t>
            </w: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lastRenderedPageBreak/>
              <w:t>查及主辦單位公告為準。</w:t>
            </w:r>
          </w:p>
          <w:p w14:paraId="0FD58420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(4) 展場設計應兼顧安全性、維護性及觀展舒適度，並考量人流動線、互動需求。</w:t>
            </w:r>
          </w:p>
        </w:tc>
      </w:tr>
      <w:tr w:rsidR="00A80568" w:rsidRPr="00201064" w14:paraId="07D329F1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B7F122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lastRenderedPageBreak/>
              <w:t>4</w:t>
            </w:r>
          </w:p>
        </w:tc>
        <w:tc>
          <w:tcPr>
            <w:tcW w:w="244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AA505C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>其他需求</w:t>
            </w:r>
          </w:p>
          <w:p w14:paraId="73D9BD4C" w14:textId="77777777" w:rsidR="00A80568" w:rsidRPr="00201064" w:rsidRDefault="00000000">
            <w:pPr>
              <w:widowControl w:val="0"/>
              <w:ind w:left="820"/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4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4011C3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(1) 配合主辦單位與策展進度參與相關進度會議。</w:t>
            </w:r>
          </w:p>
          <w:p w14:paraId="4BF610C6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(2) 廠商應具備展覽策劃執行經驗，熟悉商圈及傳統市場相關議題，並提供相關實績供審查參考。</w:t>
            </w:r>
          </w:p>
          <w:p w14:paraId="39EE58D8" w14:textId="77777777" w:rsidR="00A80568" w:rsidRPr="00201064" w:rsidRDefault="00000000">
            <w:pPr>
              <w:widowControl w:val="0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201064">
              <w:rPr>
                <w:rFonts w:ascii="微軟正黑體" w:eastAsia="微軟正黑體" w:hAnsi="微軟正黑體" w:cs="Noto Sans TC"/>
                <w:sz w:val="24"/>
                <w:szCs w:val="24"/>
              </w:rPr>
              <w:t>(3) 本案總經費包含整體策展、內容執行及展場施工佈置、展館佈置施作費、水電設施、執行本案所需保險、運費、差旅費、人事費、管理費、雜支等所有支出。</w:t>
            </w:r>
          </w:p>
        </w:tc>
      </w:tr>
    </w:tbl>
    <w:p w14:paraId="4AFCC35D" w14:textId="77777777" w:rsidR="00A80568" w:rsidRPr="00201064" w:rsidRDefault="00000000">
      <w:pPr>
        <w:widowControl w:val="0"/>
        <w:spacing w:before="120"/>
        <w:rPr>
          <w:rFonts w:ascii="微軟正黑體" w:eastAsia="微軟正黑體" w:hAnsi="微軟正黑體" w:cs="Noto Sans TC"/>
          <w:sz w:val="24"/>
          <w:szCs w:val="24"/>
        </w:rPr>
      </w:pPr>
      <w:r w:rsidRPr="00201064">
        <w:rPr>
          <w:rFonts w:ascii="微軟正黑體" w:eastAsia="微軟正黑體" w:hAnsi="微軟正黑體" w:cs="Noto Sans TC"/>
          <w:sz w:val="24"/>
          <w:szCs w:val="24"/>
        </w:rPr>
        <w:t>七、      本案聯絡人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br/>
      </w:r>
      <w:r w:rsidRPr="00201064">
        <w:rPr>
          <w:rFonts w:ascii="微軟正黑體" w:eastAsia="微軟正黑體" w:hAnsi="微軟正黑體" w:cs="Noto Sans TC"/>
          <w:sz w:val="24"/>
          <w:szCs w:val="24"/>
        </w:rPr>
        <w:tab/>
        <w:t>(一) 有關本採購案比稿內容之諮詢，請洽02-2745-8199分機671 賴小姐。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br/>
      </w:r>
      <w:r w:rsidRPr="00201064">
        <w:rPr>
          <w:rFonts w:ascii="微軟正黑體" w:eastAsia="微軟正黑體" w:hAnsi="微軟正黑體" w:cs="Noto Sans TC"/>
          <w:sz w:val="24"/>
          <w:szCs w:val="24"/>
        </w:rPr>
        <w:tab/>
        <w:t>(二) 採購事宜聯繫窗口：02-2745-8199 分機106 許小姐；分機212 潘小姐。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br/>
        <w:t>八、投標：郵寄時請於郵件封套上註明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投標廠商名稱、地址、「115年度商圈及傳統市場設計加值計畫-成果推廣展覽規劃及執行」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，送達台灣設計研究院採購工作小組收（11072台北市光復南路133號）；專人送達請送至本院服務台。以上送達方式皆須依招標公告之</w:t>
      </w:r>
      <w:r w:rsidRPr="00201064">
        <w:rPr>
          <w:rFonts w:ascii="微軟正黑體" w:eastAsia="微軟正黑體" w:hAnsi="微軟正黑體" w:cs="Noto Sans TC"/>
          <w:b/>
          <w:bCs/>
          <w:sz w:val="24"/>
          <w:szCs w:val="24"/>
        </w:rPr>
        <w:t>截止收件期限(下午17:00) 前送達，</w:t>
      </w:r>
      <w:r w:rsidRPr="00201064">
        <w:rPr>
          <w:rFonts w:ascii="微軟正黑體" w:eastAsia="微軟正黑體" w:hAnsi="微軟正黑體" w:cs="Noto Sans TC"/>
          <w:sz w:val="24"/>
          <w:szCs w:val="24"/>
        </w:rPr>
        <w:t>逾期恕不受理，如有延誤應自行負責。</w:t>
      </w:r>
    </w:p>
    <w:p w14:paraId="5DDFA531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67D143E8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622705D4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0E177B19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35DA22D5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0C771A6D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503D814B" w14:textId="11BE0961" w:rsidR="00087822" w:rsidRDefault="00087822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  <w:r>
        <w:rPr>
          <w:rFonts w:ascii="微軟正黑體" w:eastAsia="微軟正黑體" w:hAnsi="微軟正黑體" w:cs="Noto Sans TC"/>
          <w:sz w:val="24"/>
          <w:szCs w:val="24"/>
        </w:rPr>
        <w:br w:type="page"/>
      </w:r>
    </w:p>
    <w:p w14:paraId="427A950C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6295EED7" w14:textId="77777777" w:rsidR="00A80568" w:rsidRPr="00201064" w:rsidRDefault="00000000">
      <w:pPr>
        <w:widowControl w:val="0"/>
        <w:rPr>
          <w:rFonts w:ascii="微軟正黑體" w:eastAsia="微軟正黑體" w:hAnsi="微軟正黑體" w:cs="Noto Sans TC"/>
          <w:sz w:val="28"/>
          <w:szCs w:val="28"/>
        </w:rPr>
      </w:pPr>
      <w:r w:rsidRPr="00201064">
        <w:rPr>
          <w:rFonts w:ascii="微軟正黑體" w:eastAsia="微軟正黑體" w:hAnsi="微軟正黑體" w:cs="Noto Sans TC"/>
          <w:sz w:val="28"/>
          <w:szCs w:val="28"/>
        </w:rPr>
        <w:t>附件1-1 平面圖_商圈展區</w:t>
      </w:r>
    </w:p>
    <w:tbl>
      <w:tblPr>
        <w:tblStyle w:val="a6"/>
        <w:tblW w:w="941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411"/>
      </w:tblGrid>
      <w:tr w:rsidR="00A80568" w:rsidRPr="00201064" w14:paraId="55EE7BCD" w14:textId="77777777">
        <w:trPr>
          <w:trHeight w:val="450"/>
        </w:trPr>
        <w:tc>
          <w:tcPr>
            <w:tcW w:w="9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F88AB8" w14:textId="77777777" w:rsidR="00A80568" w:rsidRPr="00201064" w:rsidRDefault="00000000">
            <w:pPr>
              <w:widowControl w:val="0"/>
              <w:spacing w:line="480" w:lineRule="auto"/>
              <w:rPr>
                <w:rFonts w:ascii="微軟正黑體" w:eastAsia="微軟正黑體" w:hAnsi="微軟正黑體" w:cs="Noto Sans TC"/>
                <w:b/>
                <w:bCs/>
                <w:sz w:val="32"/>
                <w:szCs w:val="32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32"/>
                <w:szCs w:val="32"/>
              </w:rPr>
              <w:t xml:space="preserve"> </w:t>
            </w:r>
            <w:r w:rsidRPr="00201064">
              <w:rPr>
                <w:rFonts w:ascii="微軟正黑體" w:eastAsia="微軟正黑體" w:hAnsi="微軟正黑體" w:cs="Noto Sans TC"/>
                <w:b/>
                <w:bCs/>
                <w:noProof/>
                <w:sz w:val="32"/>
                <w:szCs w:val="32"/>
              </w:rPr>
              <w:drawing>
                <wp:inline distT="114300" distB="114300" distL="114300" distR="114300" wp14:anchorId="528B3395" wp14:editId="4146B4AB">
                  <wp:extent cx="4523788" cy="3195433"/>
                  <wp:effectExtent l="0" t="0" r="0" b="0"/>
                  <wp:docPr id="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3788" cy="31954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0568" w:rsidRPr="00201064" w14:paraId="3FBA8AD4" w14:textId="77777777">
        <w:trPr>
          <w:trHeight w:val="450"/>
        </w:trPr>
        <w:tc>
          <w:tcPr>
            <w:tcW w:w="941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1041D6" w14:textId="77777777" w:rsidR="00A80568" w:rsidRPr="00201064" w:rsidRDefault="00000000">
            <w:pPr>
              <w:widowControl w:val="0"/>
              <w:spacing w:line="480" w:lineRule="auto"/>
              <w:rPr>
                <w:rFonts w:ascii="微軟正黑體" w:eastAsia="微軟正黑體" w:hAnsi="微軟正黑體" w:cs="Noto Sans TC"/>
                <w:b/>
                <w:bCs/>
                <w:sz w:val="32"/>
                <w:szCs w:val="32"/>
              </w:rPr>
            </w:pPr>
            <w:r w:rsidRPr="00201064">
              <w:rPr>
                <w:rFonts w:ascii="微軟正黑體" w:eastAsia="微軟正黑體" w:hAnsi="微軟正黑體" w:cs="Noto Sans TC"/>
                <w:b/>
                <w:bCs/>
                <w:sz w:val="32"/>
                <w:szCs w:val="32"/>
              </w:rPr>
              <w:t xml:space="preserve"> </w:t>
            </w:r>
            <w:r w:rsidRPr="00201064">
              <w:rPr>
                <w:rFonts w:ascii="微軟正黑體" w:eastAsia="微軟正黑體" w:hAnsi="微軟正黑體" w:cs="Noto Sans TC"/>
                <w:b/>
                <w:bCs/>
                <w:noProof/>
                <w:sz w:val="32"/>
                <w:szCs w:val="32"/>
              </w:rPr>
              <w:drawing>
                <wp:inline distT="114300" distB="114300" distL="114300" distR="114300" wp14:anchorId="508DE048" wp14:editId="6DE21407">
                  <wp:extent cx="4194493" cy="2189621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4493" cy="218962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6CC9EB" w14:textId="77777777" w:rsidR="00A80568" w:rsidRPr="00201064" w:rsidRDefault="00A8056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p w14:paraId="006B5A96" w14:textId="77777777" w:rsidR="00201064" w:rsidRPr="00201064" w:rsidRDefault="00201064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Noto Sans TC"/>
          <w:sz w:val="24"/>
          <w:szCs w:val="24"/>
        </w:rPr>
      </w:pPr>
    </w:p>
    <w:sectPr w:rsidR="00201064" w:rsidRPr="00201064">
      <w:headerReference w:type="default" r:id="rId9"/>
      <w:footerReference w:type="even" r:id="rId10"/>
      <w:footerReference w:type="default" r:id="rId11"/>
      <w:pgSz w:w="11907" w:h="16840"/>
      <w:pgMar w:top="1304" w:right="1247" w:bottom="1304" w:left="124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F59513" w14:textId="77777777" w:rsidR="00ED1804" w:rsidRDefault="00ED1804">
      <w:r>
        <w:separator/>
      </w:r>
    </w:p>
  </w:endnote>
  <w:endnote w:type="continuationSeparator" w:id="0">
    <w:p w14:paraId="67AF64A6" w14:textId="77777777" w:rsidR="00ED1804" w:rsidRDefault="00ED18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DC58CF1-9C39-4D8B-90D8-F88FC44B68CF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2" w:subsetted="1" w:fontKey="{EA5EEEC9-9292-480B-BB5D-C01B87B916D4}"/>
    <w:embedBold r:id="rId3" w:subsetted="1" w:fontKey="{E7C1C9C2-D464-4037-8EA3-43FA3E5718BB}"/>
  </w:font>
  <w:font w:name="Noto Sans TC">
    <w:charset w:val="00"/>
    <w:family w:val="auto"/>
    <w:pitch w:val="default"/>
    <w:embedRegular r:id="rId4" w:fontKey="{9F74843A-9449-42A0-A0C6-250FDC3B5F67}"/>
    <w:embedBold r:id="rId5" w:fontKey="{ACC31A44-5547-4CB1-9F5C-E75638F6C312}"/>
  </w:font>
  <w:font w:name="全真楷書">
    <w:altName w:val="新細明體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75DAE785-2AC0-4DF1-8B1E-79BABC52CA5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4A9020D-61F5-4120-AE85-3B080B2E3A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861C2C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6F3B5CD" w14:textId="77777777" w:rsidR="00A80568" w:rsidRDefault="00A8056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147B6D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ascii="全真楷書" w:eastAsia="全真楷書" w:hAnsi="全真楷書" w:cs="全真楷書"/>
        <w:color w:val="000000"/>
      </w:rPr>
    </w:pPr>
    <w:r>
      <w:rPr>
        <w:rFonts w:ascii="全真楷書" w:eastAsia="全真楷書" w:hAnsi="全真楷書" w:cs="全真楷書"/>
        <w:color w:val="000000"/>
      </w:rPr>
      <w:fldChar w:fldCharType="begin"/>
    </w:r>
    <w:r>
      <w:rPr>
        <w:rFonts w:ascii="全真楷書" w:eastAsia="全真楷書" w:hAnsi="全真楷書" w:cs="全真楷書"/>
        <w:color w:val="000000"/>
      </w:rPr>
      <w:instrText>PAGE</w:instrText>
    </w:r>
    <w:r>
      <w:rPr>
        <w:rFonts w:ascii="全真楷書" w:eastAsia="全真楷書" w:hAnsi="全真楷書" w:cs="全真楷書"/>
        <w:color w:val="000000"/>
      </w:rPr>
      <w:fldChar w:fldCharType="separate"/>
    </w:r>
    <w:r w:rsidR="00201064">
      <w:rPr>
        <w:rFonts w:ascii="全真楷書" w:eastAsia="全真楷書" w:hAnsi="全真楷書" w:cs="全真楷書"/>
        <w:noProof/>
        <w:color w:val="000000"/>
      </w:rPr>
      <w:t>1</w:t>
    </w:r>
    <w:r>
      <w:rPr>
        <w:rFonts w:ascii="全真楷書" w:eastAsia="全真楷書" w:hAnsi="全真楷書" w:cs="全真楷書"/>
        <w:color w:val="000000"/>
      </w:rPr>
      <w:fldChar w:fldCharType="end"/>
    </w:r>
  </w:p>
  <w:p w14:paraId="62CFD37F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  <w:r>
      <w:rPr>
        <w:rFonts w:eastAsia="Times New Roman"/>
        <w:color w:val="000000"/>
      </w:rPr>
      <w:t xml:space="preserve">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8FDBC" w14:textId="77777777" w:rsidR="00ED1804" w:rsidRDefault="00ED1804">
      <w:r>
        <w:separator/>
      </w:r>
    </w:p>
  </w:footnote>
  <w:footnote w:type="continuationSeparator" w:id="0">
    <w:p w14:paraId="6868D2B8" w14:textId="77777777" w:rsidR="00ED1804" w:rsidRDefault="00ED18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7662BD" w14:textId="77777777" w:rsidR="00A80568" w:rsidRDefault="00A8056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Noto Sans TC" w:eastAsia="Noto Sans TC" w:hAnsi="Noto Sans TC" w:cs="Noto Sans TC"/>
        <w:color w:val="666666"/>
      </w:rPr>
    </w:pPr>
  </w:p>
  <w:p w14:paraId="09B6DE2E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Noto Sans TC" w:eastAsia="Noto Sans TC" w:hAnsi="Noto Sans TC" w:cs="Noto Sans TC"/>
        <w:color w:val="666666"/>
      </w:rPr>
    </w:pPr>
    <w:r>
      <w:rPr>
        <w:rFonts w:ascii="Noto Sans TC" w:eastAsia="Noto Sans TC" w:hAnsi="Noto Sans TC" w:cs="Noto Sans TC"/>
        <w:color w:val="666666"/>
      </w:rPr>
      <w:t>附件1</w:t>
    </w:r>
  </w:p>
  <w:p w14:paraId="4776454E" w14:textId="77777777" w:rsidR="00A805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rFonts w:ascii="Noto Sans TC" w:eastAsia="Noto Sans TC" w:hAnsi="Noto Sans TC" w:cs="Noto Sans TC"/>
        <w:color w:val="666666"/>
      </w:rPr>
    </w:pPr>
    <w:r>
      <w:rPr>
        <w:rFonts w:ascii="Noto Sans TC" w:eastAsia="Noto Sans TC" w:hAnsi="Noto Sans TC" w:cs="Noto Sans TC"/>
        <w:color w:val="666666"/>
      </w:rPr>
      <w:t>財團法人台灣設計研究院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0568"/>
    <w:rsid w:val="0005147E"/>
    <w:rsid w:val="00087822"/>
    <w:rsid w:val="00201064"/>
    <w:rsid w:val="003C38CE"/>
    <w:rsid w:val="00946114"/>
    <w:rsid w:val="00A80568"/>
    <w:rsid w:val="00B564FC"/>
    <w:rsid w:val="00C3249F"/>
    <w:rsid w:val="00E8128B"/>
    <w:rsid w:val="00ED1804"/>
    <w:rsid w:val="00ED226E"/>
    <w:rsid w:val="00EF6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CD2443"/>
  <w15:docId w15:val="{9466EA9D-645A-8C44-915A-75DD3BF9F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eurl.cc/bNbRW6" TargetMode="External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305</Words>
  <Characters>1740</Characters>
  <Application>Microsoft Office Word</Application>
  <DocSecurity>0</DocSecurity>
  <Lines>14</Lines>
  <Paragraphs>4</Paragraphs>
  <ScaleCrop>false</ScaleCrop>
  <Company/>
  <LinksUpToDate>false</LinksUpToDate>
  <CharactersWithSpaces>2041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2026-06-10T01:25:00Z</dcterms:created>
  <dcterms:modified xsi:type="dcterms:W3CDTF">2026-06-10T01:25:00Z</dcterms:modified>
</cp:coreProperties>
</file>